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  <w:sectPr w:rsidR="000A4690" w:rsidRPr="002A43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4690" w:rsidRPr="002A4365" w:rsidRDefault="000A4690" w:rsidP="000A4690">
      <w:pPr>
        <w:pStyle w:val="1"/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lastRenderedPageBreak/>
        <w:t>Задание 1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Токарный станок модели 16К20 является типичным и наиболее распространенным представителем класса токарно-винторезных станков.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Станки этого класса - универсальные станки токарной группы и предназначены для обработки деталей типа дисков, валов, втулок и обеспечивают обработку точением внутренних и наружных цилиндрических, конических, торцевых, фасонных поверхностей, прорезку канавок и отрезку, сверление, зенкерование и развертывание отверстий, нарезание различных типов наружных и внутренних </w:t>
      </w:r>
      <w:proofErr w:type="spellStart"/>
      <w:r w:rsidRPr="002A4365">
        <w:rPr>
          <w:rFonts w:cs="Times New Roman"/>
          <w:sz w:val="26"/>
          <w:szCs w:val="26"/>
        </w:rPr>
        <w:t>резьб</w:t>
      </w:r>
      <w:proofErr w:type="spellEnd"/>
      <w:r w:rsidRPr="002A4365">
        <w:rPr>
          <w:rFonts w:cs="Times New Roman"/>
          <w:sz w:val="26"/>
          <w:szCs w:val="26"/>
        </w:rPr>
        <w:t xml:space="preserve"> резцами, метчиками и плашками, а также накатывание рифленых поверхностей, </w:t>
      </w:r>
      <w:proofErr w:type="spellStart"/>
      <w:r w:rsidRPr="002A4365">
        <w:rPr>
          <w:rFonts w:cs="Times New Roman"/>
          <w:sz w:val="26"/>
          <w:szCs w:val="26"/>
        </w:rPr>
        <w:t>выглаживание</w:t>
      </w:r>
      <w:proofErr w:type="spellEnd"/>
      <w:r w:rsidRPr="002A4365">
        <w:rPr>
          <w:rFonts w:cs="Times New Roman"/>
          <w:sz w:val="26"/>
          <w:szCs w:val="26"/>
        </w:rPr>
        <w:t xml:space="preserve"> и раскатку поверхностей. Станки такого типа применяются в основном в единичном и мелкосерийном, а также в ремонтном производстве.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Характерными размерами станков токарной группы являются наибольший диаметр обработки над станиной (характеризует наибольший диаметр </w:t>
      </w:r>
      <w:proofErr w:type="gramStart"/>
      <w:r w:rsidRPr="002A4365">
        <w:rPr>
          <w:rFonts w:cs="Times New Roman"/>
          <w:sz w:val="26"/>
          <w:szCs w:val="26"/>
        </w:rPr>
        <w:t>заготовки</w:t>
      </w:r>
      <w:proofErr w:type="gramEnd"/>
      <w:r w:rsidRPr="002A4365">
        <w:rPr>
          <w:rFonts w:cs="Times New Roman"/>
          <w:sz w:val="26"/>
          <w:szCs w:val="26"/>
        </w:rPr>
        <w:t xml:space="preserve"> обрабатываемой на станке) и расстояние между центрами характеризует наибольшую длину обрабатываемой заготовки).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Устройство и органы управления токарного станка 16К20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ручка установки подачи и шага резьбы;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ручка установки подачи и типа нарезаемой резьбы;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установка частоты вращения шпинделя;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установка основного или крупного шага резьбы;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автоматический выключатель;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сигнальная лампа;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выключение насоса подачи СОЖ;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указатель нагрузки станка;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установка направления резьбы (левое, правое);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установка ряда чисел оборотов шпинделя;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управление фрикционной муфтой главного привода;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лампа местного освещения;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закрепление и поворот резцовой головки;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ручное перемещение резцовых салазок;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крепление пиноли задней бабки станка;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маховик перемещения пиноли задней бабки;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управление фрикционной муфтой главного привода;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включение и выключение гайки ходового винта;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управление перемещениями каретки и поперечных салазок суппорта;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включение и выключение электродвигателя;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ручное перемещение салазок суппорта;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маховик ручного перемещения каретки;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смазка направляющих каретки и поперечных салазок суппорта;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установка подачи и шага резьбы и отключения коробки подач при нарезании резьбы напрямую;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зажим пиноли задней бабки;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станина станка;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шпиндельная бабка;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задняя бабка;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lastRenderedPageBreak/>
        <w:t>суппорт;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резцовая головка;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фартук;</w:t>
      </w:r>
    </w:p>
    <w:p w:rsidR="000A4690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коробка подач;</w:t>
      </w:r>
    </w:p>
    <w:p w:rsidR="005803FF" w:rsidRPr="002A4365" w:rsidRDefault="000A4690" w:rsidP="000A4690">
      <w:pPr>
        <w:pStyle w:val="affa"/>
        <w:numPr>
          <w:ilvl w:val="0"/>
          <w:numId w:val="5"/>
        </w:numPr>
        <w:spacing w:line="240" w:lineRule="auto"/>
        <w:ind w:firstLine="709"/>
        <w:rPr>
          <w:sz w:val="26"/>
          <w:szCs w:val="26"/>
        </w:rPr>
      </w:pPr>
      <w:r w:rsidRPr="002A4365">
        <w:rPr>
          <w:sz w:val="26"/>
          <w:szCs w:val="26"/>
        </w:rPr>
        <w:t>коробка передач.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eastAsia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715000" cy="3562350"/>
            <wp:effectExtent l="0" t="0" r="0" b="0"/>
            <wp:docPr id="1" name="Рисунок 1" descr="Органы управления  и устройство токарно-винторезного станка модели 16К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рганы управления  и устройство токарно-винторезного станка модели 16К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690" w:rsidRPr="002A4365" w:rsidRDefault="000A4690" w:rsidP="000A4690">
      <w:pPr>
        <w:pStyle w:val="aa"/>
        <w:spacing w:line="240" w:lineRule="auto"/>
        <w:ind w:firstLine="709"/>
        <w:jc w:val="center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Рисунок </w:t>
      </w:r>
      <w:r w:rsidRPr="002A4365">
        <w:rPr>
          <w:rFonts w:cs="Times New Roman"/>
          <w:sz w:val="26"/>
          <w:szCs w:val="26"/>
        </w:rPr>
        <w:fldChar w:fldCharType="begin"/>
      </w:r>
      <w:r w:rsidRPr="002A4365">
        <w:rPr>
          <w:rFonts w:cs="Times New Roman"/>
          <w:sz w:val="26"/>
          <w:szCs w:val="26"/>
        </w:rPr>
        <w:instrText xml:space="preserve"> SEQ Рисунок \* ARABIC </w:instrText>
      </w:r>
      <w:r w:rsidRPr="002A4365">
        <w:rPr>
          <w:rFonts w:cs="Times New Roman"/>
          <w:sz w:val="26"/>
          <w:szCs w:val="26"/>
        </w:rPr>
        <w:fldChar w:fldCharType="separate"/>
      </w:r>
      <w:r w:rsidR="00CE78BB" w:rsidRPr="002A4365">
        <w:rPr>
          <w:rFonts w:cs="Times New Roman"/>
          <w:noProof/>
          <w:sz w:val="26"/>
          <w:szCs w:val="26"/>
        </w:rPr>
        <w:t>1</w:t>
      </w:r>
      <w:r w:rsidRPr="002A4365">
        <w:rPr>
          <w:rFonts w:cs="Times New Roman"/>
          <w:sz w:val="26"/>
          <w:szCs w:val="26"/>
        </w:rPr>
        <w:fldChar w:fldCharType="end"/>
      </w:r>
      <w:r w:rsidRPr="002A4365">
        <w:rPr>
          <w:rFonts w:cs="Times New Roman"/>
          <w:sz w:val="26"/>
          <w:szCs w:val="26"/>
        </w:rPr>
        <w:t xml:space="preserve"> - Устройство и органы управления токарного станка 16К20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Основание - чугунная отливка прямоугольной формы. В основании расположены приводной электродвигатель, агрегат гидростатики и охлаждения.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Станина - деталь, на которой установлены основные узлы станка. В верхней части станина имеет направляющие, по которым перемещаются суппорт и задняя бабка станка.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В передней бабке собраны коробка скоростей и шпиндельный узел. Шпиндель передает </w:t>
      </w:r>
      <w:proofErr w:type="gramStart"/>
      <w:r w:rsidRPr="002A4365">
        <w:rPr>
          <w:rFonts w:cs="Times New Roman"/>
          <w:sz w:val="26"/>
          <w:szCs w:val="26"/>
        </w:rPr>
        <w:t>заготовке</w:t>
      </w:r>
      <w:proofErr w:type="gramEnd"/>
      <w:r w:rsidRPr="002A4365">
        <w:rPr>
          <w:rFonts w:cs="Times New Roman"/>
          <w:sz w:val="26"/>
          <w:szCs w:val="26"/>
        </w:rPr>
        <w:t xml:space="preserve"> вращающий момент посредством приспособлений. Для установки и центрирования приспособлений служат </w:t>
      </w:r>
      <w:proofErr w:type="gramStart"/>
      <w:r w:rsidRPr="002A4365">
        <w:rPr>
          <w:rFonts w:cs="Times New Roman"/>
          <w:sz w:val="26"/>
          <w:szCs w:val="26"/>
        </w:rPr>
        <w:t>фланец ,</w:t>
      </w:r>
      <w:proofErr w:type="gramEnd"/>
      <w:r w:rsidRPr="002A4365">
        <w:rPr>
          <w:rFonts w:cs="Times New Roman"/>
          <w:sz w:val="26"/>
          <w:szCs w:val="26"/>
        </w:rPr>
        <w:t xml:space="preserve"> коническая шейка - для установки патронов, а также коническое отверстие – для установки центров. В токарных станках это отверстие выполняют по конусу Морзе. Передние концы шпинделей стандартизованы (для токарных станков с фланцевыми передними концами шпинделей ГОСТ 12593-81).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Гитара служит для настройки цепи подач с помощью подбора сменных зубчатых колес на нарезание </w:t>
      </w:r>
      <w:proofErr w:type="gramStart"/>
      <w:r w:rsidRPr="002A4365">
        <w:rPr>
          <w:rFonts w:cs="Times New Roman"/>
          <w:sz w:val="26"/>
          <w:szCs w:val="26"/>
        </w:rPr>
        <w:t>метрической ,</w:t>
      </w:r>
      <w:proofErr w:type="gramEnd"/>
      <w:r w:rsidRPr="002A4365">
        <w:rPr>
          <w:rFonts w:cs="Times New Roman"/>
          <w:sz w:val="26"/>
          <w:szCs w:val="26"/>
        </w:rPr>
        <w:t xml:space="preserve"> дюймовой , модульной , </w:t>
      </w:r>
      <w:proofErr w:type="spellStart"/>
      <w:r w:rsidRPr="002A4365">
        <w:rPr>
          <w:rFonts w:cs="Times New Roman"/>
          <w:sz w:val="26"/>
          <w:szCs w:val="26"/>
        </w:rPr>
        <w:t>питчевой</w:t>
      </w:r>
      <w:proofErr w:type="spellEnd"/>
      <w:r w:rsidRPr="002A4365">
        <w:rPr>
          <w:rFonts w:cs="Times New Roman"/>
          <w:sz w:val="26"/>
          <w:szCs w:val="26"/>
        </w:rPr>
        <w:t xml:space="preserve"> </w:t>
      </w:r>
      <w:proofErr w:type="spellStart"/>
      <w:r w:rsidRPr="002A4365">
        <w:rPr>
          <w:rFonts w:cs="Times New Roman"/>
          <w:sz w:val="26"/>
          <w:szCs w:val="26"/>
        </w:rPr>
        <w:t>резьб</w:t>
      </w:r>
      <w:proofErr w:type="spellEnd"/>
      <w:r w:rsidRPr="002A4365">
        <w:rPr>
          <w:rFonts w:cs="Times New Roman"/>
          <w:sz w:val="26"/>
          <w:szCs w:val="26"/>
        </w:rPr>
        <w:t xml:space="preserve">, а также для настройки на шаг (ход) резьбы при нарезании нестандартных </w:t>
      </w:r>
      <w:proofErr w:type="spellStart"/>
      <w:r w:rsidRPr="002A4365">
        <w:rPr>
          <w:rFonts w:cs="Times New Roman"/>
          <w:sz w:val="26"/>
          <w:szCs w:val="26"/>
        </w:rPr>
        <w:t>резьб</w:t>
      </w:r>
      <w:proofErr w:type="spellEnd"/>
      <w:r w:rsidRPr="002A4365">
        <w:rPr>
          <w:rFonts w:cs="Times New Roman"/>
          <w:sz w:val="26"/>
          <w:szCs w:val="26"/>
        </w:rPr>
        <w:t xml:space="preserve">. В </w:t>
      </w:r>
      <w:proofErr w:type="spellStart"/>
      <w:r w:rsidRPr="002A4365">
        <w:rPr>
          <w:rFonts w:cs="Times New Roman"/>
          <w:sz w:val="26"/>
          <w:szCs w:val="26"/>
        </w:rPr>
        <w:t>двухпарных</w:t>
      </w:r>
      <w:proofErr w:type="spellEnd"/>
      <w:r w:rsidRPr="002A4365">
        <w:rPr>
          <w:rFonts w:cs="Times New Roman"/>
          <w:sz w:val="26"/>
          <w:szCs w:val="26"/>
        </w:rPr>
        <w:t xml:space="preserve"> гитарах расстояние L между валом I; валом II является постоянным. На валу II свободно установлен </w:t>
      </w:r>
      <w:proofErr w:type="spellStart"/>
      <w:proofErr w:type="gramStart"/>
      <w:r w:rsidRPr="002A4365">
        <w:rPr>
          <w:rFonts w:cs="Times New Roman"/>
          <w:sz w:val="26"/>
          <w:szCs w:val="26"/>
        </w:rPr>
        <w:t>приклон</w:t>
      </w:r>
      <w:proofErr w:type="spellEnd"/>
      <w:r w:rsidRPr="002A4365">
        <w:rPr>
          <w:rFonts w:cs="Times New Roman"/>
          <w:sz w:val="26"/>
          <w:szCs w:val="26"/>
        </w:rPr>
        <w:t xml:space="preserve"> ,</w:t>
      </w:r>
      <w:proofErr w:type="gramEnd"/>
      <w:r w:rsidRPr="002A4365">
        <w:rPr>
          <w:rFonts w:cs="Times New Roman"/>
          <w:sz w:val="26"/>
          <w:szCs w:val="26"/>
        </w:rPr>
        <w:t xml:space="preserve"> который крепится к стенке шпиндельной бабки с помощью болта .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Фартук - механизм для преобразования вращения ходового винта или ходового вала в поступательное перемещение суппорта. Суппорт получает поступательное перемещение от ходового винта посредством разъемной гайки, от ходового вала - через ряд зубчатых передач посредством </w:t>
      </w:r>
      <w:proofErr w:type="spellStart"/>
      <w:r w:rsidRPr="002A4365">
        <w:rPr>
          <w:rFonts w:cs="Times New Roman"/>
          <w:sz w:val="26"/>
          <w:szCs w:val="26"/>
        </w:rPr>
        <w:t>зубчато</w:t>
      </w:r>
      <w:proofErr w:type="spellEnd"/>
      <w:r w:rsidRPr="002A4365">
        <w:rPr>
          <w:rFonts w:cs="Times New Roman"/>
          <w:sz w:val="26"/>
          <w:szCs w:val="26"/>
        </w:rPr>
        <w:t>-реечной передачи.</w:t>
      </w:r>
    </w:p>
    <w:p w:rsidR="000A4690" w:rsidRPr="002A4365" w:rsidRDefault="000A4690" w:rsidP="000A4690">
      <w:pPr>
        <w:spacing w:line="240" w:lineRule="auto"/>
        <w:ind w:firstLine="709"/>
        <w:jc w:val="center"/>
        <w:rPr>
          <w:rFonts w:cs="Times New Roman"/>
          <w:sz w:val="26"/>
          <w:szCs w:val="26"/>
        </w:rPr>
      </w:pPr>
      <w:r w:rsidRPr="002A4365">
        <w:rPr>
          <w:rFonts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5EFFECA2" wp14:editId="44303C9F">
            <wp:extent cx="5715000" cy="3895725"/>
            <wp:effectExtent l="0" t="0" r="0" b="9525"/>
            <wp:docPr id="2" name="Рисунок 2" descr="Фартук токарно-винторезного станка модели 16к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артук токарно-винторезного станка модели 16к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690" w:rsidRPr="002A4365" w:rsidRDefault="000A4690" w:rsidP="000A4690">
      <w:pPr>
        <w:pStyle w:val="aa"/>
        <w:spacing w:line="240" w:lineRule="auto"/>
        <w:ind w:firstLine="709"/>
        <w:jc w:val="center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Рисунок </w:t>
      </w:r>
      <w:r w:rsidRPr="002A4365">
        <w:rPr>
          <w:rFonts w:cs="Times New Roman"/>
          <w:sz w:val="26"/>
          <w:szCs w:val="26"/>
        </w:rPr>
        <w:fldChar w:fldCharType="begin"/>
      </w:r>
      <w:r w:rsidRPr="002A4365">
        <w:rPr>
          <w:rFonts w:cs="Times New Roman"/>
          <w:sz w:val="26"/>
          <w:szCs w:val="26"/>
        </w:rPr>
        <w:instrText xml:space="preserve"> SEQ Рисунок \* ARABIC </w:instrText>
      </w:r>
      <w:r w:rsidRPr="002A4365">
        <w:rPr>
          <w:rFonts w:cs="Times New Roman"/>
          <w:sz w:val="26"/>
          <w:szCs w:val="26"/>
        </w:rPr>
        <w:fldChar w:fldCharType="separate"/>
      </w:r>
      <w:r w:rsidR="00CE78BB" w:rsidRPr="002A4365">
        <w:rPr>
          <w:rFonts w:cs="Times New Roman"/>
          <w:noProof/>
          <w:sz w:val="26"/>
          <w:szCs w:val="26"/>
        </w:rPr>
        <w:t>2</w:t>
      </w:r>
      <w:r w:rsidRPr="002A4365">
        <w:rPr>
          <w:rFonts w:cs="Times New Roman"/>
          <w:sz w:val="26"/>
          <w:szCs w:val="26"/>
        </w:rPr>
        <w:fldChar w:fldCharType="end"/>
      </w:r>
      <w:r w:rsidRPr="002A4365">
        <w:rPr>
          <w:rFonts w:cs="Times New Roman"/>
          <w:sz w:val="26"/>
          <w:szCs w:val="26"/>
        </w:rPr>
        <w:t xml:space="preserve"> - Фартук токарного станка 16к20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Суппорт - служит для установки режущего инструмента и сообщения ему движения подачи. Суппорт состоит (рис. 3) из каретки продольного перемещения 4, поперечных салазок 5, по воротной части 6, резцовой каретки 7 с резцедержателем 8. Резцовая каретка может устанавливаться под углом к оси центров станка для обработки конических поверхностей.</w:t>
      </w:r>
    </w:p>
    <w:p w:rsidR="000A4690" w:rsidRPr="002A4365" w:rsidRDefault="000A4690" w:rsidP="000A4690">
      <w:pPr>
        <w:pStyle w:val="aa"/>
        <w:spacing w:line="240" w:lineRule="auto"/>
        <w:ind w:firstLine="709"/>
        <w:jc w:val="center"/>
        <w:rPr>
          <w:rFonts w:cs="Times New Roman"/>
          <w:sz w:val="26"/>
          <w:szCs w:val="26"/>
        </w:rPr>
      </w:pPr>
      <w:r w:rsidRPr="002A4365">
        <w:rPr>
          <w:rFonts w:cs="Times New Roman"/>
          <w:noProof/>
          <w:sz w:val="26"/>
          <w:szCs w:val="26"/>
          <w:lang w:eastAsia="ru-RU"/>
        </w:rPr>
        <w:drawing>
          <wp:inline distT="0" distB="0" distL="0" distR="0" wp14:anchorId="0152299C" wp14:editId="4812E42B">
            <wp:extent cx="5715000" cy="3933825"/>
            <wp:effectExtent l="0" t="0" r="0" b="9525"/>
            <wp:docPr id="3" name="Рисунок 3" descr="Суппорт токарно-винторезного станка модели 16к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уппорт токарно-винторезного станка модели 16к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sz w:val="26"/>
          <w:szCs w:val="26"/>
        </w:rPr>
        <w:t xml:space="preserve">Рисунок </w:t>
      </w:r>
      <w:r w:rsidRPr="002A4365">
        <w:rPr>
          <w:rFonts w:cs="Times New Roman"/>
          <w:sz w:val="26"/>
          <w:szCs w:val="26"/>
        </w:rPr>
        <w:fldChar w:fldCharType="begin"/>
      </w:r>
      <w:r w:rsidRPr="002A4365">
        <w:rPr>
          <w:rFonts w:cs="Times New Roman"/>
          <w:sz w:val="26"/>
          <w:szCs w:val="26"/>
        </w:rPr>
        <w:instrText xml:space="preserve"> SEQ Рисунок \* ARABIC </w:instrText>
      </w:r>
      <w:r w:rsidRPr="002A4365">
        <w:rPr>
          <w:rFonts w:cs="Times New Roman"/>
          <w:sz w:val="26"/>
          <w:szCs w:val="26"/>
        </w:rPr>
        <w:fldChar w:fldCharType="separate"/>
      </w:r>
      <w:r w:rsidR="00CE78BB" w:rsidRPr="002A4365">
        <w:rPr>
          <w:rFonts w:cs="Times New Roman"/>
          <w:noProof/>
          <w:sz w:val="26"/>
          <w:szCs w:val="26"/>
        </w:rPr>
        <w:t>3</w:t>
      </w:r>
      <w:r w:rsidRPr="002A4365">
        <w:rPr>
          <w:rFonts w:cs="Times New Roman"/>
          <w:sz w:val="26"/>
          <w:szCs w:val="26"/>
        </w:rPr>
        <w:fldChar w:fldCharType="end"/>
      </w:r>
      <w:r w:rsidRPr="002A4365">
        <w:rPr>
          <w:rFonts w:cs="Times New Roman"/>
          <w:sz w:val="26"/>
          <w:szCs w:val="26"/>
        </w:rPr>
        <w:t xml:space="preserve"> - Суппорт токарно-винторезного станка 16к20</w:t>
      </w:r>
    </w:p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lastRenderedPageBreak/>
        <w:t>Техническая характеристика токарно-винторезного станка по металлу модели 16к20</w:t>
      </w:r>
    </w:p>
    <w:tbl>
      <w:tblPr>
        <w:tblStyle w:val="11"/>
        <w:tblW w:w="9525" w:type="dxa"/>
        <w:tblLook w:val="04A0" w:firstRow="1" w:lastRow="0" w:firstColumn="1" w:lastColumn="0" w:noHBand="0" w:noVBand="1"/>
      </w:tblPr>
      <w:tblGrid>
        <w:gridCol w:w="7213"/>
        <w:gridCol w:w="2312"/>
      </w:tblGrid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Основные параметры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16к20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Наибольший диаметр обработки, мм: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 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над станиной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400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над поперечным суппортом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200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Наибольший диаметр обрабатываемого прутка, мм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50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 xml:space="preserve">Расстояние между </w:t>
            </w:r>
            <w:proofErr w:type="spellStart"/>
            <w:proofErr w:type="gramStart"/>
            <w:r w:rsidRPr="002A4365">
              <w:rPr>
                <w:sz w:val="26"/>
                <w:szCs w:val="26"/>
              </w:rPr>
              <w:t>центрами,мм</w:t>
            </w:r>
            <w:proofErr w:type="spellEnd"/>
            <w:proofErr w:type="gramEnd"/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710,1000,</w:t>
            </w:r>
          </w:p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1400,2000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Диапазон частот вращения шпинделя, об/мин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12.5 - 1600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Диапазон подач, мм/об: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 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продольных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0.05 - 2.8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поперечных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0.025 - 1.4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Мощность главного электродвигателя, кВт</w:t>
            </w:r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10</w:t>
            </w:r>
          </w:p>
        </w:tc>
      </w:tr>
      <w:tr w:rsidR="000A4690" w:rsidRPr="002A4365" w:rsidTr="000A4690"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 xml:space="preserve">Масса </w:t>
            </w:r>
            <w:proofErr w:type="spellStart"/>
            <w:proofErr w:type="gramStart"/>
            <w:r w:rsidRPr="002A4365">
              <w:rPr>
                <w:sz w:val="26"/>
                <w:szCs w:val="26"/>
              </w:rPr>
              <w:t>станка,кг</w:t>
            </w:r>
            <w:proofErr w:type="spellEnd"/>
            <w:proofErr w:type="gramEnd"/>
          </w:p>
        </w:tc>
        <w:tc>
          <w:tcPr>
            <w:tcW w:w="0" w:type="auto"/>
            <w:hideMark/>
          </w:tcPr>
          <w:p w:rsidR="000A4690" w:rsidRPr="002A4365" w:rsidRDefault="000A4690" w:rsidP="000A4690">
            <w:pPr>
              <w:spacing w:line="240" w:lineRule="auto"/>
              <w:ind w:firstLine="709"/>
              <w:rPr>
                <w:sz w:val="26"/>
                <w:szCs w:val="26"/>
              </w:rPr>
            </w:pPr>
            <w:r w:rsidRPr="002A4365">
              <w:rPr>
                <w:sz w:val="26"/>
                <w:szCs w:val="26"/>
              </w:rPr>
              <w:t>2835</w:t>
            </w:r>
          </w:p>
        </w:tc>
      </w:tr>
    </w:tbl>
    <w:p w:rsidR="000A4690" w:rsidRPr="002A4365" w:rsidRDefault="000A4690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</w:p>
    <w:p w:rsidR="000A4690" w:rsidRPr="002A4365" w:rsidRDefault="002C7098" w:rsidP="002C7098">
      <w:pPr>
        <w:pStyle w:val="1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Задание 2</w:t>
      </w:r>
    </w:p>
    <w:p w:rsidR="002C7098" w:rsidRPr="002A4365" w:rsidRDefault="00CE78BB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 xml:space="preserve">Цифра 3 означает, что станок относится к группе шлифовальных; цифра 7 указывает его тип — плоскошлифовальный с круглым столом; последние две цифры обозначают наибольший диаметр стола — 400 мм. Станок мод. 2135: цифра 2 означает, что станок второй группы (сверлильный), цифра 1 — вертикальный, 35 — максимально допустимый условный диаметр сверления </w:t>
      </w:r>
      <w:proofErr w:type="gramStart"/>
      <w:r w:rsidRPr="002A4365">
        <w:rPr>
          <w:rFonts w:cs="Times New Roman"/>
          <w:sz w:val="26"/>
          <w:szCs w:val="26"/>
        </w:rPr>
        <w:t>в стали</w:t>
      </w:r>
      <w:proofErr w:type="gramEnd"/>
      <w:r w:rsidRPr="002A4365">
        <w:rPr>
          <w:rFonts w:cs="Times New Roman"/>
          <w:sz w:val="26"/>
          <w:szCs w:val="26"/>
        </w:rPr>
        <w:t xml:space="preserve"> средней прочности 650 МПа.</w:t>
      </w:r>
    </w:p>
    <w:p w:rsidR="00CE78BB" w:rsidRPr="002A4365" w:rsidRDefault="00CE78BB" w:rsidP="002A4365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Шлифовальная бабка имеет только вертикальную подачу. Вращение и продольная подача стола гидравлические (модель-3740).</w:t>
      </w:r>
    </w:p>
    <w:p w:rsidR="002A4365" w:rsidRPr="002A4365" w:rsidRDefault="002A4365" w:rsidP="002A4365">
      <w:pPr>
        <w:spacing w:line="240" w:lineRule="auto"/>
        <w:ind w:firstLine="709"/>
        <w:rPr>
          <w:rFonts w:cs="Times New Roman"/>
          <w:sz w:val="26"/>
          <w:szCs w:val="26"/>
        </w:rPr>
        <w:sectPr w:rsidR="002A4365" w:rsidRPr="002A43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4365">
        <w:rPr>
          <w:rFonts w:cs="Times New Roman"/>
          <w:sz w:val="26"/>
          <w:szCs w:val="26"/>
        </w:rPr>
        <w:t>Шлифова</w:t>
      </w:r>
      <w:bookmarkStart w:id="0" w:name="_GoBack"/>
      <w:bookmarkEnd w:id="0"/>
      <w:r w:rsidRPr="002A4365">
        <w:rPr>
          <w:rFonts w:cs="Times New Roman"/>
          <w:sz w:val="26"/>
          <w:szCs w:val="26"/>
        </w:rPr>
        <w:t xml:space="preserve">ние плоских поверхностей заготовок производится периферией круга или его торцом. </w:t>
      </w:r>
      <w:proofErr w:type="spellStart"/>
      <w:r w:rsidRPr="002A4365">
        <w:rPr>
          <w:rFonts w:cs="Times New Roman"/>
          <w:sz w:val="26"/>
          <w:szCs w:val="26"/>
        </w:rPr>
        <w:t>Сушествуют</w:t>
      </w:r>
      <w:proofErr w:type="spellEnd"/>
      <w:r w:rsidRPr="002A4365">
        <w:rPr>
          <w:rFonts w:cs="Times New Roman"/>
          <w:sz w:val="26"/>
          <w:szCs w:val="26"/>
        </w:rPr>
        <w:t xml:space="preserve"> плоскошлифовальные станки с прямоугольным и круглым столами. Расположение шпинделя шлифовального круга может быть горизонтальным или вертикальным. В единичном, мелкосерийном и среднесерийном производстве наиболее часто используют плоскошлифовальные станки с прямоугольным столом и горизонтальным шпинделем. В массовом производстве наибольшее распространение получили станки с круглым столом, а также двусторонние </w:t>
      </w:r>
      <w:proofErr w:type="spellStart"/>
      <w:r w:rsidRPr="002A4365">
        <w:rPr>
          <w:rFonts w:cs="Times New Roman"/>
          <w:sz w:val="26"/>
          <w:szCs w:val="26"/>
        </w:rPr>
        <w:t>торцешлифовальные</w:t>
      </w:r>
      <w:proofErr w:type="spellEnd"/>
      <w:r w:rsidRPr="002A4365">
        <w:rPr>
          <w:rFonts w:cs="Times New Roman"/>
          <w:sz w:val="26"/>
          <w:szCs w:val="26"/>
        </w:rPr>
        <w:t xml:space="preserve"> станки с горизонтальным и вертикальным расположением шпинделей.</w:t>
      </w:r>
    </w:p>
    <w:p w:rsidR="00CE78BB" w:rsidRPr="002A4365" w:rsidRDefault="00CE78BB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</w:p>
    <w:p w:rsidR="002C7098" w:rsidRPr="002A4365" w:rsidRDefault="00CE78BB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noProof/>
          <w:lang w:eastAsia="ru-RU"/>
        </w:rPr>
        <w:drawing>
          <wp:inline distT="0" distB="0" distL="0" distR="0" wp14:anchorId="0AE1B478" wp14:editId="6206B135">
            <wp:extent cx="4275985" cy="7462520"/>
            <wp:effectExtent l="6668" t="0" r="0" b="0"/>
            <wp:docPr id="34" name="Рисунок 34" descr="http://www.ngpedia.ru/pngs/087/087mYtJ3g1u5y5D2j1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ngpedia.ru/pngs/087/087mYtJ3g1u5y5D2j1f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051"/>
                    <a:stretch/>
                  </pic:blipFill>
                  <pic:spPr bwMode="auto">
                    <a:xfrm rot="5400000">
                      <a:off x="0" y="0"/>
                      <a:ext cx="4276669" cy="7463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78BB" w:rsidRPr="002A4365" w:rsidRDefault="00CE78BB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</w:p>
    <w:p w:rsidR="00CE78BB" w:rsidRPr="002A4365" w:rsidRDefault="00CE78BB" w:rsidP="00CE78BB">
      <w:pPr>
        <w:pStyle w:val="aa"/>
        <w:jc w:val="center"/>
        <w:rPr>
          <w:rFonts w:cs="Times New Roman"/>
          <w:sz w:val="26"/>
          <w:szCs w:val="26"/>
        </w:rPr>
        <w:sectPr w:rsidR="00CE78BB" w:rsidRPr="002A4365" w:rsidSect="00CE78BB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  <w:r w:rsidRPr="002A4365">
        <w:rPr>
          <w:sz w:val="26"/>
          <w:szCs w:val="26"/>
        </w:rPr>
        <w:t xml:space="preserve">Рисунок </w:t>
      </w:r>
      <w:r w:rsidRPr="002A4365">
        <w:rPr>
          <w:sz w:val="26"/>
          <w:szCs w:val="26"/>
        </w:rPr>
        <w:fldChar w:fldCharType="begin"/>
      </w:r>
      <w:r w:rsidRPr="002A4365">
        <w:rPr>
          <w:sz w:val="26"/>
          <w:szCs w:val="26"/>
        </w:rPr>
        <w:instrText xml:space="preserve"> SEQ Рисунок \* ARABIC </w:instrText>
      </w:r>
      <w:r w:rsidRPr="002A4365">
        <w:rPr>
          <w:sz w:val="26"/>
          <w:szCs w:val="26"/>
        </w:rPr>
        <w:fldChar w:fldCharType="separate"/>
      </w:r>
      <w:r w:rsidRPr="002A4365">
        <w:rPr>
          <w:noProof/>
          <w:sz w:val="26"/>
          <w:szCs w:val="26"/>
        </w:rPr>
        <w:t>4</w:t>
      </w:r>
      <w:r w:rsidRPr="002A4365">
        <w:rPr>
          <w:sz w:val="26"/>
          <w:szCs w:val="26"/>
        </w:rPr>
        <w:fldChar w:fldCharType="end"/>
      </w:r>
      <w:r w:rsidRPr="002A4365">
        <w:rPr>
          <w:sz w:val="26"/>
          <w:szCs w:val="26"/>
        </w:rPr>
        <w:t xml:space="preserve"> - Гидрокинематическая схема плоскошлифовального станка мод</w:t>
      </w:r>
    </w:p>
    <w:p w:rsidR="00CE78BB" w:rsidRPr="002A4365" w:rsidRDefault="00CE78BB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</w:p>
    <w:p w:rsidR="002C7098" w:rsidRPr="002A4365" w:rsidRDefault="002C7098" w:rsidP="002C7098">
      <w:pPr>
        <w:pStyle w:val="1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Задание 3</w:t>
      </w:r>
    </w:p>
    <w:p w:rsidR="002C7098" w:rsidRPr="002A4365" w:rsidRDefault="002C7098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sz w:val="26"/>
          <w:szCs w:val="26"/>
        </w:rPr>
        <w:t>Элементарные передающие механизмы (передачи) – ременные, зубчатые, цепные, реечные, кулачковые и др.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Механической передачей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называют устройство для передачи механического движения от двигателя к исполнительным органам машины. Может осуществляться с изменением значения и направления скорости движения, с преобразованием вида движения. Необходимость применения таких устройств обусловлена нецелесообразностью, а иногда и невозможностью непосредственного соединения рабочего органа машины с валом двигателя. Механизмы вращательного движения позволяют осуществить непрерывное и равномерное движение с наименьшими потерями энергии на преодоление трения и наименьшими инерционными нагрузками.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Механические передачи вращательного движения делятся: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по способу передачи движения от ведущего звена к ведомому на передачи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трением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(фрикционные, ременные) 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зацеплением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(цепные, зубчатые, червячные);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по соотношению скоростей ведущего и ведомого звеньев на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замедляющие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(редукторы) и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ускоряющие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(мультипликаторы);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по взаимному расположению осей ведущего и ведомого валов на передачи с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параллельными</w:t>
      </w:r>
      <w:r w:rsidRPr="002A4365">
        <w:rPr>
          <w:rFonts w:cs="Times New Roman"/>
          <w:color w:val="000000"/>
          <w:sz w:val="26"/>
          <w:szCs w:val="26"/>
        </w:rPr>
        <w:t>,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пресекающимися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перекрещивающимися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осями валов.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Замедляющие передачи получили большее распространение по сравнению с ускоряющими. Это объясняется тем, что скорости вращения валов двигателей различного вида, как правило, значительно выше скоростей валов рабочих машин. Более быстроходные двигатели имеют меньшие размеры по сравнению с тихоходными двигателями той же мощности, так как с увеличением частоты вращения уменьшаются силы и моменты, действующие на детали двигателя. Например, передавать вращение от быстроходной газовой турбины на вал несущего винта вертолета через специальную замедляющую зубчатую передачу (редуктор) значительно выгоднее, чем применять имеющий большие габаритные размеры и массу тихоходный двигатель, вал которого соединялся бы непосредственно с винтом. Из всех типов передач наиболее распространенными являются зубчатые.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 каждой передаче различают два основных вала: входной и выходной, или ведущий и ведомый. Между этими валами в многоступенчатых передачах располагаются промежуточные валы.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Основные характеристики передач: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мощность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Р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входе 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Р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выходе, Вт; мощность может быть выражена через окружную силу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t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(Н) и окружную скорость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V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(м/с) колеса, шкива, барабана и т.п.:</w:t>
      </w:r>
    </w:p>
    <w:p w:rsidR="002C7098" w:rsidRPr="002A4365" w:rsidRDefault="002C7098" w:rsidP="002C7098">
      <w:pPr>
        <w:spacing w:before="120" w:after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Р =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t</w:t>
      </w:r>
      <w:r w:rsidRPr="002A4365">
        <w:rPr>
          <w:rFonts w:cs="Times New Roman"/>
          <w:i/>
          <w:iCs/>
          <w:color w:val="000000"/>
          <w:sz w:val="26"/>
          <w:szCs w:val="26"/>
        </w:rPr>
        <w:t>×V</w:t>
      </w:r>
      <w:proofErr w:type="spellEnd"/>
      <w:r w:rsidRPr="002A4365">
        <w:rPr>
          <w:rFonts w:cs="Times New Roman"/>
          <w:color w:val="000000"/>
          <w:sz w:val="26"/>
          <w:szCs w:val="26"/>
        </w:rPr>
        <w:t>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быстроходность</w:t>
      </w:r>
      <w:r w:rsidRPr="002A4365">
        <w:rPr>
          <w:rFonts w:cs="Times New Roman"/>
          <w:color w:val="000000"/>
          <w:sz w:val="26"/>
          <w:szCs w:val="26"/>
        </w:rPr>
        <w:t>, выражающаяся частотой вращения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n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входе 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n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выходе, мин</w:t>
      </w:r>
      <w:r w:rsidRPr="002A4365">
        <w:rPr>
          <w:rFonts w:cs="Times New Roman"/>
          <w:color w:val="000000"/>
          <w:sz w:val="26"/>
          <w:szCs w:val="26"/>
          <w:vertAlign w:val="superscript"/>
        </w:rPr>
        <w:t>–1</w:t>
      </w:r>
      <w:r w:rsidRPr="002A4365">
        <w:rPr>
          <w:rFonts w:cs="Times New Roman"/>
          <w:color w:val="000000"/>
          <w:sz w:val="26"/>
          <w:szCs w:val="26"/>
        </w:rPr>
        <w:t>, или угловыми скоростями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ω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ω</w:t>
      </w:r>
      <w:proofErr w:type="gramStart"/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,</w:t>
      </w:r>
      <w:proofErr w:type="gramEnd"/>
      <w:r w:rsidRPr="002A4365">
        <w:rPr>
          <w:rFonts w:cs="Times New Roman"/>
          <w:color w:val="000000"/>
          <w:sz w:val="26"/>
          <w:szCs w:val="26"/>
        </w:rPr>
        <w:t xml:space="preserve"> с</w:t>
      </w:r>
      <w:r w:rsidRPr="002A4365">
        <w:rPr>
          <w:rFonts w:cs="Times New Roman"/>
          <w:color w:val="000000"/>
          <w:sz w:val="26"/>
          <w:szCs w:val="26"/>
          <w:vertAlign w:val="superscript"/>
        </w:rPr>
        <w:t>-1</w:t>
      </w:r>
      <w:r w:rsidRPr="002A4365">
        <w:rPr>
          <w:rFonts w:cs="Times New Roman"/>
          <w:color w:val="000000"/>
          <w:sz w:val="26"/>
          <w:szCs w:val="26"/>
        </w:rPr>
        <w:t>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передаточное отношение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отношение угловой скорости ведущего звена к угловой скорости ведомого звена:</w:t>
      </w:r>
    </w:p>
    <w:p w:rsidR="002C7098" w:rsidRPr="002A4365" w:rsidRDefault="002C7098" w:rsidP="002C7098">
      <w:pPr>
        <w:spacing w:before="120" w:after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981075" cy="523875"/>
            <wp:effectExtent l="0" t="0" r="9525" b="9525"/>
            <wp:docPr id="32" name="Рисунок 32" descr="http://www.mehanica-kvs.narod.ru/image/razdel4img/r42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ehanica-kvs.narod.ru/image/razdel4img/r42/image00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,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lastRenderedPageBreak/>
        <w:t>при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gramStart"/>
      <w:r w:rsidRPr="002A4365">
        <w:rPr>
          <w:rFonts w:cs="Times New Roman"/>
          <w:i/>
          <w:iCs/>
          <w:color w:val="000000"/>
          <w:sz w:val="26"/>
          <w:szCs w:val="26"/>
        </w:rPr>
        <w:t>u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&gt;</w:t>
      </w:r>
      <w:proofErr w:type="gramEnd"/>
      <w:r w:rsidRPr="002A4365">
        <w:rPr>
          <w:rFonts w:cs="Times New Roman"/>
          <w:color w:val="000000"/>
          <w:sz w:val="26"/>
          <w:szCs w:val="26"/>
        </w:rPr>
        <w:t xml:space="preserve"> 1,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n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&gt;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n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передача понижающая, или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редуктор</w:t>
      </w:r>
      <w:r w:rsidRPr="002A4365">
        <w:rPr>
          <w:rFonts w:cs="Times New Roman"/>
          <w:color w:val="000000"/>
          <w:sz w:val="26"/>
          <w:szCs w:val="26"/>
        </w:rPr>
        <w:t>,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при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u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gramStart"/>
      <w:r w:rsidRPr="002A4365">
        <w:rPr>
          <w:rFonts w:cs="Times New Roman"/>
          <w:color w:val="000000"/>
          <w:sz w:val="26"/>
          <w:szCs w:val="26"/>
        </w:rPr>
        <w:t>&lt; 1</w:t>
      </w:r>
      <w:proofErr w:type="gramEnd"/>
      <w:r w:rsidRPr="002A4365">
        <w:rPr>
          <w:rFonts w:cs="Times New Roman"/>
          <w:color w:val="000000"/>
          <w:sz w:val="26"/>
          <w:szCs w:val="26"/>
        </w:rPr>
        <w:t>,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n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&lt;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n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передача повышающая, или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мультипликатор</w:t>
      </w:r>
      <w:r w:rsidRPr="002A4365">
        <w:rPr>
          <w:rFonts w:cs="Times New Roman"/>
          <w:color w:val="000000"/>
          <w:sz w:val="26"/>
          <w:szCs w:val="26"/>
        </w:rPr>
        <w:t>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коэффициент полезного действия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(КПД)</w:t>
      </w:r>
    </w:p>
    <w:p w:rsidR="002C7098" w:rsidRPr="002A4365" w:rsidRDefault="002C7098" w:rsidP="002C7098">
      <w:pPr>
        <w:spacing w:before="120" w:after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61975" cy="523875"/>
            <wp:effectExtent l="0" t="0" r="9525" b="9525"/>
            <wp:docPr id="31" name="Рисунок 31" descr="http://www.mehanica-kvs.narod.ru/image/razdel4img/r42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ehanica-kvs.narod.ru/image/razdel4img/r42/image00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, или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790575" cy="523875"/>
            <wp:effectExtent l="0" t="0" r="9525" b="9525"/>
            <wp:docPr id="30" name="Рисунок 30" descr="http://www.mehanica-kvs.narod.ru/image/razdel4img/r42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ehanica-kvs.narod.ru/image/razdel4img/r42/image006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,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где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Р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r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мощность, потерянная в передаче.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Одноступенчатые передачи имеют следующие КПД: фрикционные – 0,85…0,9; ременные – 0,90…0,95; зубчатые – 0,95…0,99; червячные – 0,7…0,9; цепные – 0,92…0,95;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моменты на валах</w:t>
      </w:r>
      <w:r w:rsidRPr="002A4365">
        <w:rPr>
          <w:rFonts w:cs="Times New Roman"/>
          <w:color w:val="000000"/>
          <w:sz w:val="26"/>
          <w:szCs w:val="26"/>
        </w:rPr>
        <w:t>. Моменты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Т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  <w:vertAlign w:val="subscript"/>
        </w:rPr>
        <w:t> </w:t>
      </w:r>
      <w:r w:rsidRPr="002A4365">
        <w:rPr>
          <w:rFonts w:cs="Times New Roman"/>
          <w:color w:val="000000"/>
          <w:sz w:val="26"/>
          <w:szCs w:val="26"/>
        </w:rPr>
        <w:t>(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Н·м</w:t>
      </w:r>
      <w:proofErr w:type="spellEnd"/>
      <w:r w:rsidRPr="002A4365">
        <w:rPr>
          <w:rFonts w:cs="Times New Roman"/>
          <w:color w:val="000000"/>
          <w:sz w:val="26"/>
          <w:szCs w:val="26"/>
        </w:rPr>
        <w:t>) на ведущем 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Т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ведомом валах определяют по мощности (кВт) и частоте вращения (</w:t>
      </w:r>
      <w:proofErr w:type="gramStart"/>
      <w:r w:rsidRPr="002A4365">
        <w:rPr>
          <w:rFonts w:cs="Times New Roman"/>
          <w:color w:val="000000"/>
          <w:sz w:val="26"/>
          <w:szCs w:val="26"/>
        </w:rPr>
        <w:t>об./</w:t>
      </w:r>
      <w:proofErr w:type="gramEnd"/>
      <w:r w:rsidRPr="002A4365">
        <w:rPr>
          <w:rFonts w:cs="Times New Roman"/>
          <w:color w:val="000000"/>
          <w:sz w:val="26"/>
          <w:szCs w:val="26"/>
        </w:rPr>
        <w:t>мин) или угловой скорости (с</w:t>
      </w:r>
      <w:r w:rsidRPr="002A4365">
        <w:rPr>
          <w:rFonts w:cs="Times New Roman"/>
          <w:color w:val="000000"/>
          <w:sz w:val="26"/>
          <w:szCs w:val="26"/>
          <w:vertAlign w:val="superscript"/>
        </w:rPr>
        <w:t>-1</w:t>
      </w:r>
      <w:r w:rsidRPr="002A4365">
        <w:rPr>
          <w:rFonts w:cs="Times New Roman"/>
          <w:color w:val="000000"/>
          <w:sz w:val="26"/>
          <w:szCs w:val="26"/>
        </w:rPr>
        <w:t>):</w:t>
      </w:r>
    </w:p>
    <w:p w:rsidR="002C7098" w:rsidRPr="002A4365" w:rsidRDefault="002C7098" w:rsidP="002C7098">
      <w:pPr>
        <w:spacing w:before="120" w:after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952500" cy="523875"/>
            <wp:effectExtent l="0" t="0" r="0" b="9525"/>
            <wp:docPr id="29" name="Рисунок 29" descr="http://www.mehanica-kvs.narod.ru/image/razdel4img/r42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ehanica-kvs.narod.ru/image/razdel4img/r42/image008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,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000125" cy="523875"/>
            <wp:effectExtent l="0" t="0" r="9525" b="9525"/>
            <wp:docPr id="28" name="Рисунок 28" descr="http://www.mehanica-kvs.narod.ru/image/razdel4img/r42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ehanica-kvs.narod.ru/image/razdel4img/r42/image01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 или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600075" cy="523875"/>
            <wp:effectExtent l="0" t="0" r="9525" b="9525"/>
            <wp:docPr id="27" name="Рисунок 27" descr="http://www.mehanica-kvs.narod.ru/image/razdel4img/r42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ehanica-kvs.narod.ru/image/razdel4img/r42/image01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,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где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ω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90550" cy="266700"/>
            <wp:effectExtent l="0" t="0" r="0" b="0"/>
            <wp:docPr id="26" name="Рисунок 26" descr="http://www.mehanica-kvs.narod.ru/image/razdel4img/r42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ehanica-kvs.narod.ru/image/razdel4img/r42/image01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Связь между вращающими моментами на ведущем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Т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и ведомом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Т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валах выражается через передаточное отношение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u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и КПД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η</w:t>
      </w:r>
      <w:r w:rsidRPr="002A4365">
        <w:rPr>
          <w:rFonts w:cs="Times New Roman"/>
          <w:color w:val="000000"/>
          <w:sz w:val="26"/>
          <w:szCs w:val="26"/>
        </w:rPr>
        <w:t>:</w:t>
      </w:r>
    </w:p>
    <w:p w:rsidR="002C7098" w:rsidRPr="002A4365" w:rsidRDefault="002C7098" w:rsidP="002C7098">
      <w:pPr>
        <w:spacing w:before="120" w:after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Т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  <w:vertAlign w:val="subscript"/>
        </w:rPr>
        <w:t> </w:t>
      </w:r>
      <w:r w:rsidRPr="002A4365">
        <w:rPr>
          <w:rFonts w:cs="Times New Roman"/>
          <w:color w:val="000000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Т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  <w:vertAlign w:val="subscript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η u</w:t>
      </w:r>
      <w:r w:rsidRPr="002A4365">
        <w:rPr>
          <w:rFonts w:cs="Times New Roman"/>
          <w:color w:val="000000"/>
          <w:sz w:val="26"/>
          <w:szCs w:val="26"/>
        </w:rPr>
        <w:t>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Зубчатой передачей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называется трехзвенный механизм, в котором два подвижных звена являются зубчатыми колесами, или колесо и рейка с зубьями, образующими с неподвижным звеном (корпусом) вращательную или поступательную пару.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 xml:space="preserve">Зубчатая передача состоит из двух колес, посредством которых они сцепляются между собой. Зубчатое колесо с меньшим числом зубьев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называют</w:t>
      </w:r>
      <w:r w:rsidRPr="002A4365">
        <w:rPr>
          <w:rFonts w:cs="Times New Roman"/>
          <w:i/>
          <w:iCs/>
          <w:color w:val="000000"/>
          <w:sz w:val="26"/>
          <w:szCs w:val="26"/>
        </w:rPr>
        <w:t>шестерней</w:t>
      </w:r>
      <w:proofErr w:type="spellEnd"/>
      <w:r w:rsidRPr="002A4365">
        <w:rPr>
          <w:rFonts w:cs="Times New Roman"/>
          <w:color w:val="000000"/>
          <w:sz w:val="26"/>
          <w:szCs w:val="26"/>
        </w:rPr>
        <w:t>, с большим числом зубьев –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колесом</w:t>
      </w:r>
      <w:r w:rsidRPr="002A4365">
        <w:rPr>
          <w:rFonts w:cs="Times New Roman"/>
          <w:color w:val="000000"/>
          <w:sz w:val="26"/>
          <w:szCs w:val="26"/>
        </w:rPr>
        <w:t>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Термин «зубчатое колесо» является общим. Параметрам шестерни приписывают индекс 1, а параметрам колеса – 2.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Основными преимуществами зубчатых передач являются: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постоянство передаточного числа (отсутствие проскальзывания);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компактность по сравнению с фрикционными и ременными передачами;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высокий КПД (до 0,97…0,98 в одной ступени);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большая долговечность и надежность в работе (например, для редукторов общего применения установлен ресурс ~ 30 000 ч);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возможность применения в широком диапазоне скоростей (до 150 м/с), мощностей (до десятков тысяч кВт).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Недостатки: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шум при высоких скоростях;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невозможность бесступенчатого изменения передаточного числа;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необходимость высокой точности изготовления и монтажа;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незащищенность от перегрузок;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наличие вибраций, которые возникают в результате неточного изготовления и неточной сборки передач.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pacing w:val="-6"/>
          <w:sz w:val="26"/>
          <w:szCs w:val="26"/>
        </w:rPr>
        <w:lastRenderedPageBreak/>
        <w:t>Классификация зубчатых передач.</w:t>
      </w:r>
      <w:r w:rsidRPr="002A4365">
        <w:rPr>
          <w:rStyle w:val="apple-converted-space"/>
          <w:rFonts w:cs="Times New Roman"/>
          <w:color w:val="000000"/>
          <w:spacing w:val="-6"/>
          <w:sz w:val="26"/>
          <w:szCs w:val="26"/>
        </w:rPr>
        <w:t> </w:t>
      </w:r>
      <w:r w:rsidRPr="002A4365">
        <w:rPr>
          <w:rFonts w:cs="Times New Roman"/>
          <w:color w:val="000000"/>
          <w:spacing w:val="-6"/>
          <w:sz w:val="26"/>
          <w:szCs w:val="26"/>
        </w:rPr>
        <w:t>По расположению осей валов различают передачи с параллельными (рис. 2.1, а – в, з), с пересекающимися (рис. 2.1, г, д) и перекрещивающимися (рис. 2.1, е, ж) геометрическими осями.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По форме могут быть цилиндрические (рис. 2.1, а – в, з), конические (рис. 2.1, г, д, ж), эллиптические, фигурные зубчатые колеса и колеса с неполным числом зубьев (секторные).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 xml:space="preserve">По форме профилей зубьев различают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эвольвентные</w:t>
      </w:r>
      <w:proofErr w:type="spellEnd"/>
      <w:r w:rsidRPr="002A4365">
        <w:rPr>
          <w:rFonts w:cs="Times New Roman"/>
          <w:color w:val="000000"/>
          <w:sz w:val="26"/>
          <w:szCs w:val="26"/>
        </w:rPr>
        <w:t xml:space="preserve"> и круговые передачи, а по форме и расположению зубьев – прямые (рис. 2.1, а, г, е, з), косые (рис. 2.1, б), шевронные (рис. 2.1, в) и круговые (рис. 2.1, д, ж).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 зависимости от относительного расположения зубчатых колес передачи могут быть с внешним (рис. 2.1, а) или внутренним (рис. 2.1, з) их зацеплением. Для преобразования вращательного движения в возвратно поступательное и наоборот служит реечная передача (рис. 2.1, е).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 xml:space="preserve">Зубчатые передачи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эвольвентного</w:t>
      </w:r>
      <w:proofErr w:type="spellEnd"/>
      <w:r w:rsidRPr="002A4365">
        <w:rPr>
          <w:rFonts w:cs="Times New Roman"/>
          <w:color w:val="000000"/>
          <w:sz w:val="26"/>
          <w:szCs w:val="26"/>
        </w:rPr>
        <w:t xml:space="preserve"> профиля широко распространены во всех отраслях машиностроения и приборостроения. Они применяются в исключительно широком диапазоне условий работы. Мощности, передаваемые зубчатыми передачами, изменяются от ничтожно малых (приборы, часовые механизмы) до многих тысяч кВт (редукторы авиационных двигателей). Наибольшее распространение имеют передачи с цилиндрическими колесами, как наиболее простые в изготовлении и эксплуатации, надежные и малогабаритные. Конические, винтовые и червячные передачи применяют лишь в тех случаях, когда это необходимо по условиям компоновки машины.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5838825" cy="7400925"/>
            <wp:effectExtent l="0" t="0" r="9525" b="9525"/>
            <wp:docPr id="25" name="Рисунок 25" descr="http://www.mehanica-kvs.narod.ru/image/razdel4img/r42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ehanica-kvs.narod.ru/image/razdel4img/r42/image01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before="40" w:after="24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2.1. Зубчатые передачи</w:t>
      </w:r>
    </w:p>
    <w:p w:rsidR="002C7098" w:rsidRPr="002A4365" w:rsidRDefault="002C7098" w:rsidP="002C7098">
      <w:pPr>
        <w:spacing w:before="40" w:after="24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Планетарными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называются передачи, содержащие зубчатые колеса с перемещающимися осями (рис. 2.6). Передача состоит из центрального колеса 1 с наружными зубьями, центрального колеса 3 с внутренними зубьями, водила Н и сателлитов 2. Сателлиты вращаются вокруг своих осей и вместе с осью вокруг центрального колеса, т.е. совершают движение, подобное движению планет.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lastRenderedPageBreak/>
        <w:t xml:space="preserve">При неподвижном колесе 3 движение может передаваться от 1 к Н или от Н к 1; при неподвижном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водиле</w:t>
      </w:r>
      <w:proofErr w:type="spellEnd"/>
      <w:r w:rsidRPr="002A4365">
        <w:rPr>
          <w:rFonts w:cs="Times New Roman"/>
          <w:color w:val="000000"/>
          <w:sz w:val="26"/>
          <w:szCs w:val="26"/>
        </w:rPr>
        <w:t xml:space="preserve"> Н – от 1 к 3 или от 3 к 1. При всех свободных звеньях одно движение можно раскладывать на два (от 3 к 1 и Н) или два соединять в одно (от 1 и Н к 3). В этом случае передачу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называют</w:t>
      </w:r>
      <w:r w:rsidRPr="002A4365">
        <w:rPr>
          <w:rFonts w:cs="Times New Roman"/>
          <w:bCs/>
          <w:color w:val="000000"/>
          <w:sz w:val="26"/>
          <w:szCs w:val="26"/>
        </w:rPr>
        <w:t>дифференциальной</w:t>
      </w:r>
      <w:proofErr w:type="spellEnd"/>
      <w:r w:rsidRPr="002A4365">
        <w:rPr>
          <w:rFonts w:cs="Times New Roman"/>
          <w:color w:val="000000"/>
          <w:sz w:val="26"/>
          <w:szCs w:val="26"/>
        </w:rPr>
        <w:t>.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895600" cy="2495550"/>
            <wp:effectExtent l="0" t="0" r="0" b="0"/>
            <wp:docPr id="24" name="Рисунок 24" descr="http://www.mehanica-kvs.narod.ru/image/razdel4img/r42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hanica-kvs.narod.ru/image/razdel4img/r42/image018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before="120" w:after="24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2.6. Планетарный механизм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Планетарные передачи имеют существенные преимущества: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нагрузка в планетарных передачах передается одновременно несколькими сателлитами, следовательно, силы, действующие на зубья колес, соответственно уменьшаются, что позволяет использовать колеса меньших габаритных размеров и массы;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 планетарных передачах рационально используются колеса внутреннего зацепления, обладающие большой (по сравнению с колесами наружного зацепления) нагрузочной способностью;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равномерное распределение сателлитов по окружности приводит к уравновешиванию радиальных сил, действующих на колеса, и, следовательно, к разгрузке подшипников центральных колес и водила;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применение планетарного механизма позволяет легко осуществить компактную конструкцию соосного редуктора, т.е. такого редуктора, у которого оси ведущего и ведомого валов совпадают. Это имеет важное значение для поршневых и турбовинтовых авиационных двигателей. Например, при помощи так называемого дифференциального планетарного редуктора можно от одного двигателя приводить во вращение два соосных винта, скорости вращения которых будут изменяться в полете в соответствии с изменением шага винта.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К недостаткам планетарных передач относятся повышенные требования к точности изготовления и монтажа.</w:t>
      </w:r>
    </w:p>
    <w:p w:rsidR="002C7098" w:rsidRPr="002A4365" w:rsidRDefault="002C7098" w:rsidP="002C7098">
      <w:pPr>
        <w:spacing w:after="12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Червячная передача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применяется для передачи вращения от одного вала к другому, когда оси валов перекрещиваются. Угол перекрещивания в большинстве случаев равен 90º. Наиболее распространенная червячная передача (рис. 2.10) состоит из так называемого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архимедова червяка</w:t>
      </w:r>
      <w:r w:rsidRPr="002A4365">
        <w:rPr>
          <w:rFonts w:cs="Times New Roman"/>
          <w:color w:val="000000"/>
          <w:sz w:val="26"/>
          <w:szCs w:val="26"/>
        </w:rPr>
        <w:t>, т.е. винта, имеющего трапецеидальную резьбу с углом профиля в осевом сечении, равным двойному углу зацепления (2</w:t>
      </w:r>
      <w:r w:rsidRPr="002A4365">
        <w:rPr>
          <w:rFonts w:cs="Times New Roman"/>
          <w:i/>
          <w:iCs/>
          <w:color w:val="000000"/>
          <w:sz w:val="26"/>
          <w:szCs w:val="26"/>
        </w:rPr>
        <w:t>α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 40°), и червячного колеса.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2076450" cy="1981200"/>
            <wp:effectExtent l="0" t="0" r="0" b="0"/>
            <wp:docPr id="23" name="Рисунок 23" descr="http://www.mehanica-kvs.narod.ru/image/razdel4img/r42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ehanica-kvs.narod.ru/image/razdel4img/r42/image020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   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524125" cy="2133600"/>
            <wp:effectExtent l="0" t="0" r="9525" b="0"/>
            <wp:docPr id="22" name="Рисунок 22" descr="http://www.mehanica-kvs.narod.ru/image/razdel4img/r42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ehanica-kvs.narod.ru/image/razdel4img/r42/image022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before="120" w:after="24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2.10. Червячная передача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pacing w:val="-2"/>
          <w:sz w:val="26"/>
          <w:szCs w:val="26"/>
        </w:rPr>
        <w:t>Геометрия червячных передач</w:t>
      </w:r>
      <w:r w:rsidRPr="002A4365">
        <w:rPr>
          <w:rFonts w:cs="Times New Roman"/>
          <w:color w:val="000000"/>
          <w:spacing w:val="-2"/>
          <w:sz w:val="26"/>
          <w:szCs w:val="26"/>
        </w:rPr>
        <w:t>. В червячной передаче, так же как и в зубчатой, различают диаметры начальных и делительных цилиндров (рис. 2.11</w:t>
      </w:r>
      <w:proofErr w:type="gramStart"/>
      <w:r w:rsidRPr="002A4365">
        <w:rPr>
          <w:rFonts w:cs="Times New Roman"/>
          <w:color w:val="000000"/>
          <w:spacing w:val="-2"/>
          <w:sz w:val="26"/>
          <w:szCs w:val="26"/>
        </w:rPr>
        <w:t>):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  <w:vertAlign w:val="subscript"/>
        </w:rPr>
        <w:t>w</w:t>
      </w:r>
      <w:proofErr w:type="gramEnd"/>
      <w:r w:rsidRPr="002A4365">
        <w:rPr>
          <w:rFonts w:cs="Times New Roman"/>
          <w:i/>
          <w:iCs/>
          <w:color w:val="000000"/>
          <w:spacing w:val="-2"/>
          <w:sz w:val="26"/>
          <w:szCs w:val="26"/>
          <w:vertAlign w:val="subscript"/>
        </w:rPr>
        <w:t>1</w:t>
      </w:r>
      <w:r w:rsidRPr="002A4365">
        <w:rPr>
          <w:rFonts w:cs="Times New Roman"/>
          <w:color w:val="000000"/>
          <w:spacing w:val="-2"/>
          <w:sz w:val="26"/>
          <w:szCs w:val="26"/>
        </w:rPr>
        <w:t>,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  <w:vertAlign w:val="subscript"/>
        </w:rPr>
        <w:t>w2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  <w:vertAlign w:val="subscript"/>
        </w:rPr>
        <w:t> </w:t>
      </w:r>
      <w:r w:rsidRPr="002A4365">
        <w:rPr>
          <w:rFonts w:cs="Times New Roman"/>
          <w:color w:val="000000"/>
          <w:spacing w:val="-2"/>
          <w:sz w:val="26"/>
          <w:szCs w:val="26"/>
        </w:rPr>
        <w:t>– начальные диаметры червяка и колеса;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  <w:vertAlign w:val="subscript"/>
        </w:rPr>
        <w:t>1</w:t>
      </w:r>
      <w:r w:rsidRPr="002A4365">
        <w:rPr>
          <w:rFonts w:cs="Times New Roman"/>
          <w:color w:val="000000"/>
          <w:spacing w:val="-2"/>
          <w:sz w:val="26"/>
          <w:szCs w:val="26"/>
          <w:vertAlign w:val="subscript"/>
        </w:rPr>
        <w:t>,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color w:val="000000"/>
          <w:spacing w:val="-2"/>
          <w:sz w:val="26"/>
          <w:szCs w:val="26"/>
        </w:rPr>
        <w:t>– делительные диаметры червяка и колеса. В передачах без смещения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  <w:vertAlign w:val="subscript"/>
        </w:rPr>
        <w:t>w1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color w:val="000000"/>
          <w:spacing w:val="-2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2"/>
          <w:sz w:val="26"/>
          <w:szCs w:val="26"/>
          <w:vertAlign w:val="subscript"/>
        </w:rPr>
        <w:t>1</w:t>
      </w:r>
      <w:r w:rsidRPr="002A4365">
        <w:rPr>
          <w:rFonts w:cs="Times New Roman"/>
          <w:color w:val="000000"/>
          <w:spacing w:val="-2"/>
          <w:sz w:val="26"/>
          <w:szCs w:val="26"/>
        </w:rPr>
        <w:t>,</w:t>
      </w:r>
      <w:r w:rsidRPr="002A4365">
        <w:rPr>
          <w:rStyle w:val="apple-converted-space"/>
          <w:rFonts w:cs="Times New Roman"/>
          <w:color w:val="000000"/>
          <w:spacing w:val="-2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6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6"/>
          <w:sz w:val="26"/>
          <w:szCs w:val="26"/>
          <w:vertAlign w:val="subscript"/>
        </w:rPr>
        <w:t>w2</w:t>
      </w:r>
      <w:r w:rsidRPr="002A4365">
        <w:rPr>
          <w:rFonts w:cs="Times New Roman"/>
          <w:color w:val="000000"/>
          <w:spacing w:val="-6"/>
          <w:sz w:val="26"/>
          <w:szCs w:val="26"/>
        </w:rPr>
        <w:t> =</w:t>
      </w:r>
      <w:r w:rsidRPr="002A4365">
        <w:rPr>
          <w:rStyle w:val="apple-converted-space"/>
          <w:rFonts w:cs="Times New Roman"/>
          <w:color w:val="000000"/>
          <w:spacing w:val="-6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6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pacing w:val="-6"/>
          <w:sz w:val="26"/>
          <w:szCs w:val="26"/>
          <w:vertAlign w:val="subscript"/>
        </w:rPr>
        <w:t>2</w:t>
      </w:r>
      <w:r w:rsidRPr="002A4365">
        <w:rPr>
          <w:rFonts w:cs="Times New Roman"/>
          <w:color w:val="000000"/>
          <w:spacing w:val="-6"/>
          <w:sz w:val="26"/>
          <w:szCs w:val="26"/>
        </w:rPr>
        <w:t>. Точка касания начальных цилиндров является полюсом зацепления.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Червяки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различают по следующим признакам: по форме поверхности, на которой образуется резьба, –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цилиндрические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(рис. 2.12, а) 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глобоидные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(рис. 2.12, б); по форме профиля резьбы –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архимедовы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эвольвентные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цилиндрические червяки.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2"/>
          <w:sz w:val="26"/>
          <w:szCs w:val="26"/>
        </w:rPr>
        <w:t>Архимедов червяк имеет трапецеидальный профиль резьбы в осевом сечении, в торцевом сечении витки резьбы очерчены архимедовой спиралью.</w:t>
      </w:r>
    </w:p>
    <w:p w:rsidR="002C7098" w:rsidRPr="002A4365" w:rsidRDefault="002C7098" w:rsidP="002C7098">
      <w:pPr>
        <w:spacing w:before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762625" cy="390525"/>
            <wp:effectExtent l="0" t="0" r="9525" b="9525"/>
            <wp:docPr id="21" name="Рисунок 21" descr="http://www.mehanica-kvs.narod.ru/image/razdel4img/r42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ehanica-kvs.narod.ru/image/razdel4img/r42/image023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3390900" cy="1952625"/>
            <wp:effectExtent l="0" t="0" r="0" b="9525"/>
            <wp:docPr id="20" name="Рисунок 20" descr="http://www.mehanica-kvs.narod.ru/image/razdel4img/r42/image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ehanica-kvs.narod.ru/image/razdel4img/r42/image025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076450" cy="1971675"/>
            <wp:effectExtent l="0" t="0" r="0" b="9525"/>
            <wp:docPr id="19" name="Рисунок 19" descr="http://www.mehanica-kvs.narod.ru/image/razdel4img/r42/image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ehanica-kvs.narod.ru/image/razdel4img/r42/image027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before="120" w:line="240" w:lineRule="auto"/>
        <w:ind w:firstLine="709"/>
        <w:rPr>
          <w:rFonts w:cs="Times New Roman"/>
          <w:color w:val="000000"/>
          <w:sz w:val="26"/>
          <w:szCs w:val="26"/>
        </w:rPr>
      </w:pPr>
      <w:proofErr w:type="spellStart"/>
      <w:r w:rsidRPr="002A4365">
        <w:rPr>
          <w:rFonts w:cs="Times New Roman"/>
          <w:color w:val="000000"/>
          <w:sz w:val="26"/>
          <w:szCs w:val="26"/>
        </w:rPr>
        <w:t>Эвольвентный</w:t>
      </w:r>
      <w:proofErr w:type="spellEnd"/>
      <w:r w:rsidRPr="002A4365">
        <w:rPr>
          <w:rFonts w:cs="Times New Roman"/>
          <w:color w:val="000000"/>
          <w:sz w:val="26"/>
          <w:szCs w:val="26"/>
        </w:rPr>
        <w:t xml:space="preserve"> червяк представляет собой косозубое зубчатое колесо с малым числом зубьев и большим углом их наклона. Профиль витка в торцевом сечении очерчен эвольвентой.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Наибольшее применение в машиностроении находят архимедовы червяки, так как технология их производства проста и наиболее отработана. Архимедовы червяки обычно не шлифуют. Их используют, когда требуемая твердость материала червяка не превышает 350 НВ. При твердости 45 НRC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 xml:space="preserve">и малой шероховатости рабочих поверхностей витков червяки делают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эвольвентными</w:t>
      </w:r>
      <w:proofErr w:type="spellEnd"/>
      <w:r w:rsidRPr="002A4365">
        <w:rPr>
          <w:rFonts w:cs="Times New Roman"/>
          <w:color w:val="000000"/>
          <w:sz w:val="26"/>
          <w:szCs w:val="26"/>
        </w:rPr>
        <w:t xml:space="preserve">, так как после термообработки </w:t>
      </w:r>
      <w:r w:rsidRPr="002A4365">
        <w:rPr>
          <w:rFonts w:cs="Times New Roman"/>
          <w:color w:val="000000"/>
          <w:sz w:val="26"/>
          <w:szCs w:val="26"/>
        </w:rPr>
        <w:lastRenderedPageBreak/>
        <w:t>шлифование их рабочих поверхностей по сравнению с архимедовыми червяками проще.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 xml:space="preserve">Профиль зубьев червячных колес в передачах </w:t>
      </w:r>
      <w:proofErr w:type="spellStart"/>
      <w:r w:rsidRPr="002A4365">
        <w:rPr>
          <w:rFonts w:cs="Times New Roman"/>
          <w:color w:val="000000"/>
          <w:spacing w:val="-4"/>
          <w:sz w:val="26"/>
          <w:szCs w:val="26"/>
        </w:rPr>
        <w:t>эвольвентный</w:t>
      </w:r>
      <w:proofErr w:type="spellEnd"/>
      <w:r w:rsidRPr="002A4365">
        <w:rPr>
          <w:rFonts w:cs="Times New Roman"/>
          <w:color w:val="000000"/>
          <w:spacing w:val="-4"/>
          <w:sz w:val="26"/>
          <w:szCs w:val="26"/>
        </w:rPr>
        <w:t xml:space="preserve">. Поэтому зацепление в червячной передаче представляет собой </w:t>
      </w:r>
      <w:proofErr w:type="spellStart"/>
      <w:r w:rsidRPr="002A4365">
        <w:rPr>
          <w:rFonts w:cs="Times New Roman"/>
          <w:color w:val="000000"/>
          <w:spacing w:val="-4"/>
          <w:sz w:val="26"/>
          <w:szCs w:val="26"/>
        </w:rPr>
        <w:t>эвольвентное</w:t>
      </w:r>
      <w:proofErr w:type="spellEnd"/>
      <w:r w:rsidRPr="002A4365">
        <w:rPr>
          <w:rFonts w:cs="Times New Roman"/>
          <w:color w:val="000000"/>
          <w:spacing w:val="-4"/>
          <w:sz w:val="26"/>
          <w:szCs w:val="26"/>
        </w:rPr>
        <w:t xml:space="preserve"> зацепление зубчатого колеса с зубчатой рейкой. Угол наклона линии зуба червячного колеса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β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равен углу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подъема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γ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линии витка червяка. Минимальное число зубьев колеса из условия отсутствия подрезания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z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24. Число витков (заходов) червяка определяется количеством ниток нарезки, отстоящих друг от друга на расстояние, называемое шагом, и начинающихся на торцах нарезной части червяка. Направление витков может быть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правым или левым. Чаще применяется правая нарезка с числом заходов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z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1…4. Рекомендуют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z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= 4 при передаточном отношении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u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= 8…15;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z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= 2 при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u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= 15…30;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z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= 1 при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proofErr w:type="gramStart"/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u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&gt;</w:t>
      </w:r>
      <w:proofErr w:type="gramEnd"/>
      <w:r w:rsidRPr="002A4365">
        <w:rPr>
          <w:rFonts w:cs="Times New Roman"/>
          <w:color w:val="000000"/>
          <w:spacing w:val="-4"/>
          <w:sz w:val="26"/>
          <w:szCs w:val="26"/>
        </w:rPr>
        <w:t xml:space="preserve"> 30.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6"/>
          <w:sz w:val="26"/>
          <w:szCs w:val="26"/>
        </w:rPr>
        <w:t xml:space="preserve">Волновая передача основана на принципе преобразования параметров движения за счет волнового деформирования гибкого звена механизма. Впервые такая передача была запатентована в США инженером </w:t>
      </w:r>
      <w:proofErr w:type="spellStart"/>
      <w:r w:rsidRPr="002A4365">
        <w:rPr>
          <w:rFonts w:cs="Times New Roman"/>
          <w:color w:val="000000"/>
          <w:spacing w:val="-6"/>
          <w:sz w:val="26"/>
          <w:szCs w:val="26"/>
        </w:rPr>
        <w:t>Массером</w:t>
      </w:r>
      <w:proofErr w:type="spellEnd"/>
      <w:r w:rsidRPr="002A4365">
        <w:rPr>
          <w:rFonts w:cs="Times New Roman"/>
          <w:color w:val="000000"/>
          <w:spacing w:val="-6"/>
          <w:sz w:val="26"/>
          <w:szCs w:val="26"/>
        </w:rPr>
        <w:t>. [3]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Волновые зубчатые передачи (рис. 2.14) являются разновидностью планетарных передач, у которых одно из колес гибкое.</w:t>
      </w:r>
    </w:p>
    <w:p w:rsidR="002C7098" w:rsidRPr="002A4365" w:rsidRDefault="002C7098" w:rsidP="002C7098">
      <w:pPr>
        <w:spacing w:after="4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Волновая передача включает в себя жесткое зубчатое колесо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b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 внутренними зубьями и вращающееся гибкое колесо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g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c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наружными зубьями. Гибкое колесо входит в зацепление с жестким в двух зонах с помощью генератора волн (например, водила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h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 двумя роликами), который соединяют с корпусом передачи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b</w:t>
      </w:r>
      <w:r w:rsidRPr="002A4365">
        <w:rPr>
          <w:rFonts w:cs="Times New Roman"/>
          <w:color w:val="000000"/>
          <w:sz w:val="26"/>
          <w:szCs w:val="26"/>
        </w:rPr>
        <w:t>.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4772025" cy="1924050"/>
            <wp:effectExtent l="0" t="0" r="9525" b="0"/>
            <wp:docPr id="18" name="Рисунок 18" descr="http://www.mehanica-kvs.narod.ru/image/razdel4img/r42/image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ehanica-kvs.narod.ru/image/razdel4img/r42/image029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before="120" w:after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2.14. Волновая зубчатая передача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Гибкое зубчатое колесо представляет собой гибкий цилиндр, один конец которого соединен с валом и сохраняет цилиндрическую форму, а другой конец имеет зубья. Генератор волн служит для образования и движения волны деформации на гибком зубчатом колесе.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 xml:space="preserve">Генераторы волн бывают механические, пневматические, гидравлические, электромагнитные. Механические генераторы могут быть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двухроликовыми</w:t>
      </w:r>
      <w:proofErr w:type="spellEnd"/>
      <w:r w:rsidRPr="002A4365">
        <w:rPr>
          <w:rFonts w:cs="Times New Roman"/>
          <w:color w:val="000000"/>
          <w:sz w:val="26"/>
          <w:szCs w:val="26"/>
        </w:rPr>
        <w:t xml:space="preserve">,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четырехроликовыми</w:t>
      </w:r>
      <w:proofErr w:type="spellEnd"/>
      <w:r w:rsidRPr="002A4365">
        <w:rPr>
          <w:rFonts w:cs="Times New Roman"/>
          <w:color w:val="000000"/>
          <w:sz w:val="26"/>
          <w:szCs w:val="26"/>
        </w:rPr>
        <w:t>, дисковыми, кольцевыми и кулачковыми. Генератор волн может располагаться внутри гибкого колеса или вне его. Число волн – любое.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К основным достоинствам волновых передач по сравнению с зубчатыми передачами следует отнести: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их меньшие массу и габариты;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кинематическую точность;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высокую демпфирующую способность;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обеспечение больших передаточных отношений в одной ступени (50…300);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lastRenderedPageBreak/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возможность передачи движения в герметизированное пространство без применения уплотнений.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Недостатки: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сложность конструкции;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ограничение скорости вращения ведущего вала генератора волн при больших диаметрах колес;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повышенные потери мощности на трение и на деформацию гибкого колеса (КПД составляет 0,7-0,85 при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U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 80-250).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Волновые передачи применяют в приводах для передачи движения в герметизированное пространство в химической, атомной и космической технике; в силовых и кинематических приводах общего назначения с большим передаточным отношением; в исполнительных малоинерционных быстродействующих механизмах систем автоматического регулирования и управления; в механизмах отсчетных устройств повышенной кинематической точности.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Передачи, работа которых основана на использовании сил трения, возникающих между рабочими поверхностями двух прижатых друг к другу тел вращения, называют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bCs/>
          <w:color w:val="000000"/>
          <w:sz w:val="26"/>
          <w:szCs w:val="26"/>
        </w:rPr>
        <w:t>фрикционными передачами</w:t>
      </w:r>
      <w:r w:rsidRPr="002A4365">
        <w:rPr>
          <w:rFonts w:cs="Times New Roman"/>
          <w:color w:val="000000"/>
          <w:sz w:val="26"/>
          <w:szCs w:val="26"/>
        </w:rPr>
        <w:t>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6"/>
          <w:sz w:val="26"/>
          <w:szCs w:val="26"/>
        </w:rPr>
        <w:t>Для нормальной работы передачи необходимо, чтобы сила трения</w:t>
      </w:r>
      <w:r w:rsidRPr="002A4365">
        <w:rPr>
          <w:rStyle w:val="apple-converted-space"/>
          <w:rFonts w:cs="Times New Roman"/>
          <w:color w:val="000000"/>
          <w:spacing w:val="-6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pacing w:val="-6"/>
          <w:sz w:val="26"/>
          <w:szCs w:val="26"/>
        </w:rPr>
        <w:t>F</w:t>
      </w:r>
      <w:r w:rsidRPr="002A4365">
        <w:rPr>
          <w:rFonts w:cs="Times New Roman"/>
          <w:color w:val="000000"/>
          <w:spacing w:val="-6"/>
          <w:sz w:val="26"/>
          <w:szCs w:val="26"/>
          <w:vertAlign w:val="subscript"/>
        </w:rPr>
        <w:t>т</w:t>
      </w:r>
      <w:r w:rsidRPr="002A4365">
        <w:rPr>
          <w:rFonts w:cs="Times New Roman"/>
          <w:i/>
          <w:iCs/>
          <w:color w:val="000000"/>
          <w:spacing w:val="-6"/>
          <w:sz w:val="26"/>
          <w:szCs w:val="26"/>
          <w:vertAlign w:val="subscript"/>
        </w:rPr>
        <w:t>р</w:t>
      </w:r>
      <w:proofErr w:type="spellEnd"/>
      <w:r w:rsidRPr="002A4365">
        <w:rPr>
          <w:rStyle w:val="apple-converted-space"/>
          <w:rFonts w:cs="Times New Roman"/>
          <w:color w:val="000000"/>
          <w:spacing w:val="-6"/>
          <w:sz w:val="26"/>
          <w:szCs w:val="26"/>
        </w:rPr>
        <w:t> </w:t>
      </w:r>
      <w:r w:rsidRPr="002A4365">
        <w:rPr>
          <w:rFonts w:cs="Times New Roman"/>
          <w:color w:val="000000"/>
          <w:spacing w:val="-6"/>
          <w:sz w:val="26"/>
          <w:szCs w:val="26"/>
        </w:rPr>
        <w:t>была больше окружной силы</w:t>
      </w:r>
      <w:r w:rsidRPr="002A4365">
        <w:rPr>
          <w:rStyle w:val="apple-converted-space"/>
          <w:rFonts w:cs="Times New Roman"/>
          <w:color w:val="000000"/>
          <w:spacing w:val="-6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pacing w:val="-6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pacing w:val="-6"/>
          <w:sz w:val="26"/>
          <w:szCs w:val="26"/>
          <w:vertAlign w:val="subscript"/>
        </w:rPr>
        <w:t>t</w:t>
      </w:r>
      <w:proofErr w:type="spellEnd"/>
      <w:r w:rsidRPr="002A4365">
        <w:rPr>
          <w:rFonts w:cs="Times New Roman"/>
          <w:color w:val="000000"/>
          <w:spacing w:val="-6"/>
          <w:sz w:val="26"/>
          <w:szCs w:val="26"/>
        </w:rPr>
        <w:t>, определяющей заданный вращающий момент: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t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gramStart"/>
      <w:r w:rsidRPr="002A4365">
        <w:rPr>
          <w:rFonts w:cs="Times New Roman"/>
          <w:color w:val="000000"/>
          <w:sz w:val="26"/>
          <w:szCs w:val="26"/>
        </w:rPr>
        <w:t>&lt;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proofErr w:type="gramEnd"/>
      <w:r w:rsidRPr="002A4365">
        <w:rPr>
          <w:rFonts w:cs="Times New Roman"/>
          <w:color w:val="000000"/>
          <w:sz w:val="26"/>
          <w:szCs w:val="26"/>
          <w:vertAlign w:val="subscript"/>
        </w:rPr>
        <w:t>т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р</w:t>
      </w:r>
      <w:proofErr w:type="spellEnd"/>
      <w:r w:rsidRPr="002A4365">
        <w:rPr>
          <w:rFonts w:cs="Times New Roman"/>
          <w:color w:val="000000"/>
          <w:sz w:val="26"/>
          <w:szCs w:val="26"/>
        </w:rPr>
        <w:t>.                                         (2.42)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Сила трения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color w:val="000000"/>
          <w:sz w:val="26"/>
          <w:szCs w:val="26"/>
          <w:vertAlign w:val="subscript"/>
        </w:rPr>
        <w:t>т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р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n</w:t>
      </w:r>
      <w:proofErr w:type="spellEnd"/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color w:val="000000"/>
          <w:sz w:val="26"/>
          <w:szCs w:val="26"/>
        </w:rPr>
        <w:t>,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где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n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сила прижатия катков;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коэффициент трения.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Нарушение условия (2.42) приводит к буксованию и быстрому износу катков.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2"/>
          <w:sz w:val="26"/>
          <w:szCs w:val="26"/>
        </w:rPr>
        <w:t>В зависимости от назначения фрикционные передачи можно разделить на две основные группы: передачи с нерегулируемым передаточным отношением (рис. 2.15, а); регулируемые передачи, называемые вариаторами, позволяющими плавно (бесступенчато) изменять передаточное отношение.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3505200" cy="257175"/>
            <wp:effectExtent l="0" t="0" r="0" b="9525"/>
            <wp:docPr id="17" name="Рисунок 17" descr="http://www.mehanica-kvs.narod.ru/image/razdel4img/r42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ehanica-kvs.narod.ru/image/razdel4img/r42/image030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  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295525" cy="2171700"/>
            <wp:effectExtent l="0" t="0" r="9525" b="0"/>
            <wp:docPr id="16" name="Рисунок 16" descr="http://www.mehanica-kvs.narod.ru/image/razdel4img/r42/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ehanica-kvs.narod.ru/image/razdel4img/r42/image03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         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876550" cy="2181225"/>
            <wp:effectExtent l="0" t="0" r="0" b="9525"/>
            <wp:docPr id="15" name="Рисунок 15" descr="http://www.mehanica-kvs.narod.ru/image/razdel4img/r42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ehanica-kvs.narod.ru/image/razdel4img/r42/image034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   </w:t>
      </w:r>
    </w:p>
    <w:p w:rsidR="002C7098" w:rsidRPr="002A4365" w:rsidRDefault="002C7098" w:rsidP="002C7098">
      <w:pPr>
        <w:spacing w:before="360" w:after="24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2.15. Схемы фрикционных передач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2"/>
          <w:sz w:val="26"/>
          <w:szCs w:val="26"/>
        </w:rPr>
        <w:t xml:space="preserve">Различают передачи с параллельными и пересекающимися осями валов; с цилиндрической, конической, шаровой или </w:t>
      </w:r>
      <w:proofErr w:type="spellStart"/>
      <w:r w:rsidRPr="002A4365">
        <w:rPr>
          <w:rFonts w:cs="Times New Roman"/>
          <w:color w:val="000000"/>
          <w:spacing w:val="-2"/>
          <w:sz w:val="26"/>
          <w:szCs w:val="26"/>
        </w:rPr>
        <w:t>торовой</w:t>
      </w:r>
      <w:proofErr w:type="spellEnd"/>
      <w:r w:rsidRPr="002A4365">
        <w:rPr>
          <w:rFonts w:cs="Times New Roman"/>
          <w:color w:val="000000"/>
          <w:spacing w:val="-2"/>
          <w:sz w:val="26"/>
          <w:szCs w:val="26"/>
        </w:rPr>
        <w:t xml:space="preserve"> поверхностью рабочих катков; с </w:t>
      </w:r>
      <w:r w:rsidRPr="002A4365">
        <w:rPr>
          <w:rFonts w:cs="Times New Roman"/>
          <w:color w:val="000000"/>
          <w:spacing w:val="-2"/>
          <w:sz w:val="26"/>
          <w:szCs w:val="26"/>
        </w:rPr>
        <w:lastRenderedPageBreak/>
        <w:t>постоянным или автоматически регулируемым прижатием катков, с промежуточным фрикционным элементом или без него и т.д.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Схема простейшей нерегулируемой передачи изображена на рис. 2.15, а.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Она состоит из двух катков с гладкой цилиндрической поверхностью, закрепленных на параллельных валах.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У лобового вариатора (рис. 2.15, б) ведущий каток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может перемещаться вдоль своей оси. При этом передаточное отношение плавно изменяется в соответствии с изменением рабочего диаметра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ведомого диска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Б</w:t>
      </w:r>
      <w:r w:rsidRPr="002A4365">
        <w:rPr>
          <w:rFonts w:cs="Times New Roman"/>
          <w:color w:val="000000"/>
          <w:sz w:val="26"/>
          <w:szCs w:val="26"/>
        </w:rPr>
        <w:t>. При переходе катка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левую сторону направление вращения диска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Б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изменяется – вариатор обладает свойством реверсивности.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Область применения.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Фрикционные передачи с постоянным передаточным отношением применяют сравнительно редко. Их область ограничивается преимущественно кинематическими цепями приборов, от которых требуется плавность движения, бесшумность работы, безударное включение на ходу и т.п.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2"/>
          <w:sz w:val="26"/>
          <w:szCs w:val="26"/>
        </w:rPr>
        <w:t>Фрикционные вариаторы применяют достаточно широко для обеспечения бесступенчатого регулирования скорости в станкостроении, текстильных, бумагоделательных и других машинах и приборах. В авиастроении фрикционные передачи не применяются. Диапазон передаваемых мощностей обычно находится в пределах до 10 кВт, так как при больших мощностях трудно обеспечить необходимое усилие прижатия катков.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Способы прижатия катков.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Существует два вида прижатия катков: с постоянной силой, которую определяют по максимальной нагрузке передачи; с регулируемой силой, которая автоматически изменяется с изменением нагрузки. Лучшие показатели получают при саморегулируемом прижатии.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Способ прижатия катков оказывает большое влияние на качественные характеристики передачи: КПД, постоянство передаточного отношения, контактную прочность и износ катков.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Скольжение в передаче.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Различают три вида скольжения: буксование, упругое скольжение и геометрическое скольжение.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Буксование наступает при перегрузках элементов передачи. При этом ведомый каток останавливается, а ведущий скользит по нему, что приводит к интенсивному местному изнашиванию или задиру на ведомом катке.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4"/>
          <w:sz w:val="26"/>
          <w:szCs w:val="26"/>
        </w:rPr>
        <w:t>Упругое скольжение характерно для нормально работающей передачи. Участки поверхности ведущего катка подходят к площадке контакта сжатыми, а отходят растянутыми. На ведомом катке наблюдается обратная картина. Касание сжатых и растянутых волокон катков приводит к их упругому скольжению, что вызывает отставание ведомого катка от ведущего.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 xml:space="preserve">Геометрическое скольжение связано с тем, что окружные скорости </w:t>
      </w:r>
      <w:proofErr w:type="gramStart"/>
      <w:r w:rsidRPr="002A4365">
        <w:rPr>
          <w:rFonts w:cs="Times New Roman"/>
          <w:color w:val="000000"/>
          <w:sz w:val="26"/>
          <w:szCs w:val="26"/>
        </w:rPr>
        <w:t>вращения</w:t>
      </w:r>
      <w:proofErr w:type="gramEnd"/>
      <w:r w:rsidRPr="002A4365">
        <w:rPr>
          <w:rFonts w:cs="Times New Roman"/>
          <w:color w:val="000000"/>
          <w:sz w:val="26"/>
          <w:szCs w:val="26"/>
        </w:rPr>
        <w:t xml:space="preserve"> ведущего и ведомого катков на площадке их контакта различны. Например, в лобовом вариаторе (см. рис. 2.15, б) окружная скорость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V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2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меняется с изменением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R</w:t>
      </w:r>
      <w:r w:rsidRPr="002A4365">
        <w:rPr>
          <w:rFonts w:cs="Times New Roman"/>
          <w:color w:val="000000"/>
          <w:sz w:val="26"/>
          <w:szCs w:val="26"/>
        </w:rPr>
        <w:t>, а скорость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V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этой площадке постоянна. Геометрическое скольжение является основной причиной изнашивания рабочих поверхностей элементов фрикционных передач.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Ременная передача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состоит из двух шкивов, закрепленных на валах, и охватывающего их ремня. Ремень надет на шкивы с определенным натяжением, обеспечивающим трение между ремнем и шкивами, достаточное для передачи мощности от ведущего шкива к ведомому.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2"/>
          <w:sz w:val="26"/>
          <w:szCs w:val="26"/>
        </w:rPr>
        <w:lastRenderedPageBreak/>
        <w:t>В зависимости от формы поперечного сечения ремня различают: плоскоременную, клиноременную и круглоременную (рис. 2.16, а – в) передачи.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847975" cy="1104900"/>
            <wp:effectExtent l="0" t="0" r="9525" b="0"/>
            <wp:docPr id="14" name="Рисунок 14" descr="http://www.mehanica-kvs.narod.ru/image/razdel4img/r42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mehanica-kvs.narod.ru/image/razdel4img/r42/image03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886075" cy="1914525"/>
            <wp:effectExtent l="0" t="0" r="9525" b="9525"/>
            <wp:docPr id="13" name="Рисунок 13" descr="http://www.mehanica-kvs.narod.ru/image/razdel4img/r42/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mehanica-kvs.narod.ru/image/razdel4img/r42/image037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before="300" w:after="24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2.16. Ременные передачи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Сравнивая ременную передачу с зубчатой можно отметить следующие преимущества: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возможность передачи движения на значительное расстояние (до 15 м и более);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плавность и бесшумность работы, обусловленные эластичностью ремня и позволяющие работать при высоких скоростях;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способность выдерживать перегрузки (до 300 %) благодаря увеличению скольжения ремня;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невысокая стоимость;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простота обслуживания и ремонта.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Основными недостатками ременной передачи являются: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непостоянство передаточного отношения из-за скольжения ремня на шкивах;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значительные габаритные размеры при больших мощностях (для одинаковых условий диаметры шкивов примерно в 5 раз больше диаметров зубчатых колес);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большое давление на шкивы в результате натяжения ремня;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низкая долговечность ремней (от 1000 до 5000 ч).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Ременные передачи применяют преимущественно в тех случаях, когда по условиям конструкции валы расположены на значительных расстояниях. Мощность современных передач не превышает 50 кВт.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2"/>
          <w:sz w:val="26"/>
          <w:szCs w:val="26"/>
        </w:rPr>
        <w:t>В многоступенчатых приводах ременную передачу применяют обычно в качестве быстроходной ступени, устанавливая ведущий шкив на валу двигателя. В таком случае габариты и масса передачи будут наименьшими.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Критерии работоспособности и расчета</w:t>
      </w:r>
      <w:r w:rsidRPr="002A4365">
        <w:rPr>
          <w:rFonts w:cs="Times New Roman"/>
          <w:color w:val="000000"/>
          <w:sz w:val="26"/>
          <w:szCs w:val="26"/>
        </w:rPr>
        <w:t>. Опыт эксплуатации передач в различных машинах и механизмах показал, что работоспособность передач ограничивается преимущественно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тяговой способностью,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 xml:space="preserve">определяемой силой </w:t>
      </w:r>
      <w:r w:rsidRPr="002A4365">
        <w:rPr>
          <w:rFonts w:cs="Times New Roman"/>
          <w:color w:val="000000"/>
          <w:sz w:val="26"/>
          <w:szCs w:val="26"/>
        </w:rPr>
        <w:lastRenderedPageBreak/>
        <w:t>трения между ремнем и шкивом,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долговечностью ремня,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которая в условиях нормальной эксплуатации ограничивается разрушением ремня от усталости.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Цепная передача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состоит из двух колес с зубьями (звездочек) и охватывающей их цепи. Наиболее распространены передачи с втулочно-роликовой цепью (рис. 2.19, а) и зубчатой цепью (рис. 2.19, б). Цепные передачи применяются для передачи средних мощностей (не более 150 кВт) между параллельными валами в случаях, когда межосевые расстояния велики для зубчатых передач.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Преимуществами цепных передач являются: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отсутствие проскальзывания;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достаточная быстроходность (20-30 м/с);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сравнительно большое передаточное число (7 и более);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высокий КПД;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возможность передачи движения от одной цепи нескольким звездочкам;</w:t>
      </w:r>
    </w:p>
    <w:p w:rsidR="002C7098" w:rsidRPr="002A4365" w:rsidRDefault="002C7098" w:rsidP="002C7098">
      <w:pPr>
        <w:spacing w:after="12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небольшая нагрузка на валы, т.к. цепная передача не нуждается в предварительном натяжении цепи необходимом для ременной передачи.</w:t>
      </w:r>
    </w:p>
    <w:p w:rsidR="002C7098" w:rsidRPr="002A4365" w:rsidRDefault="002C7098" w:rsidP="002C7098">
      <w:pPr>
        <w:spacing w:after="12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676900" cy="800100"/>
            <wp:effectExtent l="0" t="0" r="0" b="0"/>
            <wp:docPr id="12" name="Рисунок 12" descr="http://www.mehanica-kvs.narod.ru/image/razdel4img/r42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mehanica-kvs.narod.ru/image/razdel4img/r42/image038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543300" cy="1943100"/>
            <wp:effectExtent l="0" t="0" r="0" b="0"/>
            <wp:wrapSquare wrapText="bothSides"/>
            <wp:docPr id="33" name="Рисунок 33" descr="http://www.mehanica-kvs.narod.ru/image/razdel4img/r42/image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hanica-kvs.narod.ru/image/razdel4img/r42/image040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4365">
        <w:rPr>
          <w:rFonts w:cs="Times New Roman"/>
          <w:color w:val="000000"/>
          <w:sz w:val="26"/>
          <w:szCs w:val="26"/>
        </w:rPr>
        <w:t>    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590675" cy="1933575"/>
            <wp:effectExtent l="0" t="0" r="0" b="9525"/>
            <wp:docPr id="11" name="Рисунок 11" descr="http://www.mehanica-kvs.narod.ru/image/razdel4img/r42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ehanica-kvs.narod.ru/image/razdel4img/r42/image042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before="12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before="12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 </w:t>
      </w:r>
    </w:p>
    <w:p w:rsidR="002C7098" w:rsidRPr="002A4365" w:rsidRDefault="002C7098" w:rsidP="002C7098">
      <w:pPr>
        <w:spacing w:before="12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Недостатками цепных передач являются: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вытяжка цепей вследствие износа шарниров;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более высокая стоимость передачи по сравнению с ременной;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необходимость регулярной смазки;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значительный шум.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6"/>
          <w:sz w:val="26"/>
          <w:szCs w:val="26"/>
        </w:rPr>
        <w:t>По назначению цепи подразделяют на приводные, используемые в приводах машин; тяговые, применяемые в качестве тягового органа в конвейерах, и грузовые, используемые в грузоподъемных машинах для подъема грузов.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Цепные передачи применяются, например, для управления рулем направления самолета (рис. 2.20), для привода механизма отклонения триммера руля высоты.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pacing w:val="-4"/>
          <w:sz w:val="26"/>
          <w:szCs w:val="26"/>
        </w:rPr>
        <w:lastRenderedPageBreak/>
        <w:t>Звездочки.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По конструкции звездочки похожи на зубчатые колеса. Делительная окружность звездочки проходит через центры шарниров цепи. Профилирование их зубьев выполняют по стандарту. Ширина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4"/>
          <w:sz w:val="26"/>
          <w:szCs w:val="26"/>
        </w:rPr>
        <w:t>b</w:t>
      </w:r>
      <w:r w:rsidRPr="002A4365">
        <w:rPr>
          <w:rStyle w:val="apple-converted-space"/>
          <w:rFonts w:cs="Times New Roman"/>
          <w:color w:val="000000"/>
          <w:spacing w:val="-4"/>
          <w:sz w:val="26"/>
          <w:szCs w:val="26"/>
        </w:rPr>
        <w:t> </w:t>
      </w:r>
      <w:r w:rsidRPr="002A4365">
        <w:rPr>
          <w:rFonts w:cs="Times New Roman"/>
          <w:color w:val="000000"/>
          <w:spacing w:val="-4"/>
          <w:sz w:val="26"/>
          <w:szCs w:val="26"/>
        </w:rPr>
        <w:t>зубчатого венца звездочки принимается несколько меньшей расстояния между внутренними пластинками. Звездочки больших размеров выполняют составными. [4]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Передача винт-гайка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служит для преобразования вращательного движения в поступательное. Широкое применение таких передач определяется тем, что при простой и компактной конструкции удается осуществить медленные и точные перемещения.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 авиастроении передача винт-гайка используется в механизмах управления самолетом: для перемещения взлетно-посадочных закрылков, для управления триммерами, поворотными стабилизаторами и др.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К преимуществам передачи относятся простота и компактность конструкции, большой выигрыш в силе, точность перемещений.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Недостатком передачи является большая потеря на трение и связанный с этим малый КПД.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3676650" cy="2447925"/>
            <wp:effectExtent l="0" t="0" r="0" b="0"/>
            <wp:docPr id="10" name="Рисунок 10" descr="http://www.mehanica-kvs.narod.ru/image/razdel4img/r42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ehanica-kvs.narod.ru/image/razdel4img/r42/image043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162550" cy="2552700"/>
            <wp:effectExtent l="0" t="0" r="0" b="0"/>
            <wp:docPr id="9" name="Рисунок 9" descr="http://www.mehanica-kvs.narod.ru/image/razdel4img/r42/image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mehanica-kvs.narod.ru/image/razdel4img/r42/image045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after="24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2.22. Передачи винт-гайка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 винтовой передаче вращение винта 1 вызывает поступательное перемещение гайки 2 (рис. 2.22, а), а вращение гайки 2 приводит к поступательному перемещению винта 1 (рис. 2.22, б).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lastRenderedPageBreak/>
        <w:t>Передаточное отношение.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 винтовых механизмах винт или гайка приводится в движение с помощью маховика, шестерни и др. Передаточное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proofErr w:type="spellStart"/>
      <w:r w:rsidRPr="002A4365">
        <w:rPr>
          <w:rFonts w:cs="Times New Roman"/>
          <w:color w:val="000000"/>
          <w:sz w:val="26"/>
          <w:szCs w:val="26"/>
        </w:rPr>
        <w:t>ное</w:t>
      </w:r>
      <w:proofErr w:type="spellEnd"/>
      <w:r w:rsidRPr="002A4365">
        <w:rPr>
          <w:rFonts w:cs="Times New Roman"/>
          <w:color w:val="000000"/>
          <w:sz w:val="26"/>
          <w:szCs w:val="26"/>
        </w:rPr>
        <w:t xml:space="preserve"> отношение для этих передач можно условно выразить соотношением окружного перемещения маховика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S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м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к перемещению гайки (винта)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S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r</w:t>
      </w:r>
      <w:proofErr w:type="spellEnd"/>
      <w:r w:rsidRPr="002A4365">
        <w:rPr>
          <w:rFonts w:cs="Times New Roman"/>
          <w:color w:val="000000"/>
          <w:sz w:val="26"/>
          <w:szCs w:val="26"/>
        </w:rPr>
        <w:t>:</w:t>
      </w:r>
    </w:p>
    <w:p w:rsidR="002C7098" w:rsidRPr="002A4365" w:rsidRDefault="002C7098" w:rsidP="002C7098">
      <w:pPr>
        <w:spacing w:before="80" w:after="8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i</w:t>
      </w:r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S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м</w:t>
      </w:r>
      <w:proofErr w:type="spellEnd"/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/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S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r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 xml:space="preserve">π 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м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/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p</w:t>
      </w:r>
      <w:proofErr w:type="gramStart"/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1</w:t>
      </w:r>
      <w:r w:rsidRPr="002A4365">
        <w:rPr>
          <w:rFonts w:cs="Times New Roman"/>
          <w:color w:val="000000"/>
          <w:sz w:val="26"/>
          <w:szCs w:val="26"/>
        </w:rPr>
        <w:t>,   </w:t>
      </w:r>
      <w:proofErr w:type="gramEnd"/>
      <w:r w:rsidRPr="002A4365">
        <w:rPr>
          <w:rFonts w:cs="Times New Roman"/>
          <w:color w:val="000000"/>
          <w:sz w:val="26"/>
          <w:szCs w:val="26"/>
        </w:rPr>
        <w:t>                               (2.65)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где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d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м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диаметр маховика (шестерни и т.п.);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i/>
          <w:iCs/>
          <w:color w:val="000000"/>
          <w:sz w:val="26"/>
          <w:szCs w:val="26"/>
        </w:rPr>
        <w:t>р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1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ход винта.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Зависимость между окружной силой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t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маховике и осевой силой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a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гайке запишем в виде:</w:t>
      </w:r>
    </w:p>
    <w:p w:rsidR="002C7098" w:rsidRPr="002A4365" w:rsidRDefault="002C7098" w:rsidP="002C7098">
      <w:pPr>
        <w:spacing w:before="80" w:after="80" w:line="240" w:lineRule="auto"/>
        <w:ind w:firstLine="709"/>
        <w:rPr>
          <w:rFonts w:cs="Times New Roman"/>
          <w:color w:val="000000"/>
          <w:sz w:val="26"/>
          <w:szCs w:val="26"/>
        </w:rPr>
      </w:pP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t</w:t>
      </w:r>
      <w:proofErr w:type="spellEnd"/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=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proofErr w:type="spellStart"/>
      <w:r w:rsidRPr="002A4365">
        <w:rPr>
          <w:rFonts w:cs="Times New Roman"/>
          <w:i/>
          <w:iCs/>
          <w:color w:val="000000"/>
          <w:sz w:val="26"/>
          <w:szCs w:val="26"/>
        </w:rPr>
        <w:t>F</w:t>
      </w:r>
      <w:r w:rsidRPr="002A4365">
        <w:rPr>
          <w:rFonts w:cs="Times New Roman"/>
          <w:i/>
          <w:iCs/>
          <w:color w:val="000000"/>
          <w:sz w:val="26"/>
          <w:szCs w:val="26"/>
          <w:vertAlign w:val="subscript"/>
        </w:rPr>
        <w:t>a</w:t>
      </w:r>
      <w:proofErr w:type="spellEnd"/>
      <w:r w:rsidRPr="002A4365">
        <w:rPr>
          <w:rStyle w:val="apple-converted-space"/>
          <w:rFonts w:cs="Times New Roman"/>
          <w:i/>
          <w:iCs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 xml:space="preserve">i </w:t>
      </w:r>
      <w:proofErr w:type="gramStart"/>
      <w:r w:rsidRPr="002A4365">
        <w:rPr>
          <w:rFonts w:cs="Times New Roman"/>
          <w:i/>
          <w:iCs/>
          <w:color w:val="000000"/>
          <w:sz w:val="26"/>
          <w:szCs w:val="26"/>
        </w:rPr>
        <w:t>η</w:t>
      </w:r>
      <w:r w:rsidRPr="002A4365">
        <w:rPr>
          <w:rFonts w:cs="Times New Roman"/>
          <w:color w:val="000000"/>
          <w:sz w:val="26"/>
          <w:szCs w:val="26"/>
        </w:rPr>
        <w:t>,   </w:t>
      </w:r>
      <w:proofErr w:type="gramEnd"/>
      <w:r w:rsidRPr="002A4365">
        <w:rPr>
          <w:rFonts w:cs="Times New Roman"/>
          <w:color w:val="000000"/>
          <w:sz w:val="26"/>
          <w:szCs w:val="26"/>
        </w:rPr>
        <w:t>                                       (2.66)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где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z w:val="26"/>
          <w:szCs w:val="26"/>
        </w:rPr>
        <w:t>η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– КПД винтовой пары.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Механизмы, в которые входят жесткие звенья, соединенные между собой кинематическими парами пятого класса, называют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bCs/>
          <w:color w:val="000000"/>
          <w:sz w:val="26"/>
          <w:szCs w:val="26"/>
        </w:rPr>
        <w:t>рычажными механизмами</w:t>
      </w:r>
      <w:r w:rsidRPr="002A4365">
        <w:rPr>
          <w:rFonts w:cs="Times New Roman"/>
          <w:color w:val="000000"/>
          <w:sz w:val="26"/>
          <w:szCs w:val="26"/>
        </w:rPr>
        <w:t>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В кинематических парах таких механизмов давление и интенсивность изнашивания звеньев меньше, чем в высших кинематических парах.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8"/>
          <w:sz w:val="26"/>
          <w:szCs w:val="26"/>
        </w:rPr>
        <w:t>Среди разнообразных рычажных механизмов наиболее распространенными являются</w:t>
      </w:r>
      <w:r w:rsidRPr="002A4365">
        <w:rPr>
          <w:rStyle w:val="apple-converted-space"/>
          <w:rFonts w:cs="Times New Roman"/>
          <w:color w:val="000000"/>
          <w:spacing w:val="-8"/>
          <w:sz w:val="26"/>
          <w:szCs w:val="26"/>
        </w:rPr>
        <w:t> </w:t>
      </w:r>
      <w:r w:rsidRPr="002A4365">
        <w:rPr>
          <w:rFonts w:cs="Times New Roman"/>
          <w:i/>
          <w:iCs/>
          <w:color w:val="000000"/>
          <w:spacing w:val="-8"/>
          <w:sz w:val="26"/>
          <w:szCs w:val="26"/>
        </w:rPr>
        <w:t>плоские четырехзвенные механизмы</w:t>
      </w:r>
      <w:r w:rsidRPr="002A4365">
        <w:rPr>
          <w:rFonts w:cs="Times New Roman"/>
          <w:color w:val="000000"/>
          <w:spacing w:val="-8"/>
          <w:sz w:val="26"/>
          <w:szCs w:val="26"/>
        </w:rPr>
        <w:t xml:space="preserve">. Они могут иметь четыре шарнира (шарнирные </w:t>
      </w:r>
      <w:proofErr w:type="spellStart"/>
      <w:r w:rsidRPr="002A4365">
        <w:rPr>
          <w:rFonts w:cs="Times New Roman"/>
          <w:color w:val="000000"/>
          <w:spacing w:val="-8"/>
          <w:sz w:val="26"/>
          <w:szCs w:val="26"/>
        </w:rPr>
        <w:t>четырехзвенники</w:t>
      </w:r>
      <w:proofErr w:type="spellEnd"/>
      <w:r w:rsidRPr="002A4365">
        <w:rPr>
          <w:rFonts w:cs="Times New Roman"/>
          <w:color w:val="000000"/>
          <w:spacing w:val="-8"/>
          <w:sz w:val="26"/>
          <w:szCs w:val="26"/>
        </w:rPr>
        <w:t>), три шарнира и одну поступательную пару или два шарнира и две поступательные пары. Их используют для воспроизведения заданной траектории выходных звеньев механизмов, преобразования движения, передачи движения с переменным передаточным отношением.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pacing w:val="-4"/>
          <w:sz w:val="26"/>
          <w:szCs w:val="26"/>
        </w:rPr>
        <w:t>Под передаточным отношением рычажного механизма понимают отношение угловых скоростей основных звеньев, если они совершают вращательные движения, или отношение линейных скоростей центра пальца кривошипа и выходного звена, если оно совершает поступательное движение.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Кривошипно-ползунный механизм.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Этот механизм имеет самое широкое применение в машиностроении и используется в двигателях внутреннего сгорания, станках, компрессорах, поршневых насосах, прессах, а также при механизации и автоматизации как основных, так и вспомогательных операций технологического процесса.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Из рис. 2.24 видно, что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3790950" cy="285750"/>
            <wp:effectExtent l="0" t="0" r="0" b="0"/>
            <wp:docPr id="8" name="Рисунок 8" descr="http://www.mehanica-kvs.narod.ru/image/razdel4img/r42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mehanica-kvs.narod.ru/image/razdel4img/r42/image047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color w:val="000000"/>
          <w:sz w:val="26"/>
          <w:szCs w:val="26"/>
        </w:rPr>
        <w:t>           (2.69)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3362325" cy="1238250"/>
            <wp:effectExtent l="0" t="0" r="9525" b="0"/>
            <wp:docPr id="7" name="Рисунок 7" descr="http://www.mehanica-kvs.narod.ru/image/razdel4img/r42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mehanica-kvs.narod.ru/image/razdel4img/r42/image049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before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2.24. Кривошипно-ползунный механизм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z w:val="26"/>
          <w:szCs w:val="26"/>
        </w:rPr>
        <w:t>Кулачковые механизмы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(рис. 2.26) по широте применения уступают только зубчатым передачам. Их используют в станках и прессах, двигателях внутреннего сгорания, машинах текстильной, пищевой и полиграфической промышленности. В этих машинах они выполняют функции подвода и отвода инструмента, подачи и зажима материала в станках, выталкивания, поворота, перемещения изделий и др.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Кулачковые механизмы имеют ряд преимуществ: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lastRenderedPageBreak/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возможность воспроизведения почти любого закона движения ведомого звена;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простота согласования работы нескольких механизмов в машинах-автоматах;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-    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надежность в работе и компактность.</w:t>
      </w:r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К недостаткам этих механизмов следует отнести относительно быстрое изнашивание соприкасающихся поверхностей, которое обусловлено ускоренным движением толкателя, отсутствием смазки, а также наличием вибрации, которая возрастает с увеличением частоты вращения кулачка.</w:t>
      </w:r>
    </w:p>
    <w:p w:rsidR="002C7098" w:rsidRPr="002A4365" w:rsidRDefault="002C7098" w:rsidP="002C7098">
      <w:pPr>
        <w:spacing w:after="12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bCs/>
          <w:color w:val="000000"/>
          <w:spacing w:val="4"/>
          <w:sz w:val="26"/>
          <w:szCs w:val="26"/>
        </w:rPr>
        <w:t>Классификация механизмов</w:t>
      </w:r>
      <w:r w:rsidRPr="002A4365">
        <w:rPr>
          <w:rFonts w:cs="Times New Roman"/>
          <w:color w:val="000000"/>
          <w:spacing w:val="4"/>
          <w:sz w:val="26"/>
          <w:szCs w:val="26"/>
        </w:rPr>
        <w:t xml:space="preserve">. По характеру движения механизмы подразделяют на пространственные и плоские. В зависимости от вида движения кулачка механизмы подразделяют на поступательные (рис. 2.26, г, д), вращательные (рис. 2.26, а, б, в) и качающиеся. По взаимному расположению кулачка и толкателя механизмы называют центральными и </w:t>
      </w:r>
      <w:proofErr w:type="spellStart"/>
      <w:r w:rsidRPr="002A4365">
        <w:rPr>
          <w:rFonts w:cs="Times New Roman"/>
          <w:color w:val="000000"/>
          <w:spacing w:val="4"/>
          <w:sz w:val="26"/>
          <w:szCs w:val="26"/>
        </w:rPr>
        <w:t>дезаксиальными</w:t>
      </w:r>
      <w:proofErr w:type="spellEnd"/>
      <w:r w:rsidRPr="002A4365">
        <w:rPr>
          <w:rFonts w:cs="Times New Roman"/>
          <w:color w:val="000000"/>
          <w:spacing w:val="4"/>
          <w:sz w:val="26"/>
          <w:szCs w:val="26"/>
        </w:rPr>
        <w:t xml:space="preserve"> (нецентральными). По типу замыкания высшей кинематической пары их подразделяют</w:t>
      </w:r>
      <w:r w:rsidRPr="002A4365">
        <w:rPr>
          <w:rStyle w:val="apple-converted-space"/>
          <w:rFonts w:cs="Times New Roman"/>
          <w:color w:val="000000"/>
          <w:sz w:val="26"/>
          <w:szCs w:val="26"/>
        </w:rPr>
        <w:t> </w:t>
      </w:r>
      <w:r w:rsidRPr="002A4365">
        <w:rPr>
          <w:rFonts w:cs="Times New Roman"/>
          <w:color w:val="000000"/>
          <w:sz w:val="26"/>
          <w:szCs w:val="26"/>
        </w:rPr>
        <w:t>на пары с кинематическим и силовым замыканием.</w:t>
      </w:r>
    </w:p>
    <w:p w:rsidR="002C7098" w:rsidRPr="002A4365" w:rsidRDefault="002C7098" w:rsidP="002C7098">
      <w:pPr>
        <w:spacing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5019675" cy="2409825"/>
            <wp:effectExtent l="0" t="0" r="0" b="0"/>
            <wp:docPr id="6" name="Рисунок 6" descr="http://www.mehanica-kvs.narod.ru/image/razdel4img/r42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mehanica-kvs.narod.ru/image/razdel4img/r42/image050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365">
        <w:rPr>
          <w:rFonts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6076950" cy="3886200"/>
            <wp:effectExtent l="0" t="0" r="0" b="0"/>
            <wp:docPr id="5" name="Рисунок 5" descr="http://www.mehanica-kvs.narod.ru/image/razdel4img/r42/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mehanica-kvs.narod.ru/image/razdel4img/r42/image052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98" w:rsidRPr="002A4365" w:rsidRDefault="002C7098" w:rsidP="002C7098">
      <w:pPr>
        <w:spacing w:before="120" w:line="240" w:lineRule="auto"/>
        <w:ind w:firstLine="709"/>
        <w:jc w:val="center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Рис. 2.26. Кулачковые механизмы:</w:t>
      </w:r>
    </w:p>
    <w:p w:rsidR="002C7098" w:rsidRPr="002A4365" w:rsidRDefault="002C7098" w:rsidP="002C7098">
      <w:pPr>
        <w:spacing w:after="240"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 xml:space="preserve">а, б, в – дисковые; г, д – плоские с поступательным перемещением кулачка; е – </w:t>
      </w:r>
      <w:proofErr w:type="spellStart"/>
      <w:r w:rsidRPr="002A4365">
        <w:rPr>
          <w:rFonts w:cs="Times New Roman"/>
          <w:color w:val="000000"/>
          <w:sz w:val="26"/>
          <w:szCs w:val="26"/>
        </w:rPr>
        <w:t>гиперболоидные</w:t>
      </w:r>
      <w:proofErr w:type="spellEnd"/>
    </w:p>
    <w:p w:rsidR="002C7098" w:rsidRPr="002A4365" w:rsidRDefault="002C7098" w:rsidP="002C7098">
      <w:pPr>
        <w:spacing w:line="240" w:lineRule="auto"/>
        <w:ind w:firstLine="709"/>
        <w:rPr>
          <w:rFonts w:cs="Times New Roman"/>
          <w:color w:val="000000"/>
          <w:sz w:val="26"/>
          <w:szCs w:val="26"/>
        </w:rPr>
      </w:pPr>
      <w:r w:rsidRPr="002A4365">
        <w:rPr>
          <w:rFonts w:cs="Times New Roman"/>
          <w:color w:val="000000"/>
          <w:sz w:val="26"/>
          <w:szCs w:val="26"/>
        </w:rPr>
        <w:t>Силовое замыкание происходит под действием пружины, силы тяжести груза либо реализуется гидравлическим или пневматическим способом. Оно характерно преимущественно для механизмов, работающих с небольшими скоростями звеньев.</w:t>
      </w:r>
    </w:p>
    <w:p w:rsidR="002C7098" w:rsidRPr="002A4365" w:rsidRDefault="002C7098" w:rsidP="002C7098">
      <w:pPr>
        <w:pStyle w:val="aff5"/>
        <w:rPr>
          <w:sz w:val="27"/>
          <w:szCs w:val="27"/>
          <w:lang w:val="ru-RU"/>
        </w:rPr>
      </w:pPr>
      <w:r w:rsidRPr="002A4365">
        <w:rPr>
          <w:sz w:val="27"/>
          <w:szCs w:val="27"/>
          <w:lang w:val="ru-RU"/>
        </w:rPr>
        <w:t> </w:t>
      </w:r>
    </w:p>
    <w:p w:rsidR="002C7098" w:rsidRPr="002A4365" w:rsidRDefault="002C7098" w:rsidP="002C7098">
      <w:pPr>
        <w:jc w:val="center"/>
        <w:rPr>
          <w:color w:val="000000"/>
          <w:sz w:val="27"/>
          <w:szCs w:val="27"/>
        </w:rPr>
      </w:pPr>
    </w:p>
    <w:p w:rsidR="002C7098" w:rsidRPr="002A4365" w:rsidRDefault="002C7098" w:rsidP="000A4690">
      <w:pPr>
        <w:spacing w:line="240" w:lineRule="auto"/>
        <w:ind w:firstLine="709"/>
        <w:rPr>
          <w:rFonts w:cs="Times New Roman"/>
          <w:sz w:val="26"/>
          <w:szCs w:val="26"/>
        </w:rPr>
      </w:pPr>
    </w:p>
    <w:sectPr w:rsidR="002C7098" w:rsidRPr="002A4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8C54D5D"/>
    <w:multiLevelType w:val="multilevel"/>
    <w:tmpl w:val="0000000A"/>
    <w:styleLink w:val="a0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B001BFE"/>
    <w:multiLevelType w:val="hybridMultilevel"/>
    <w:tmpl w:val="45AC5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CB"/>
    <w:rsid w:val="000A4690"/>
    <w:rsid w:val="00101DF5"/>
    <w:rsid w:val="00256941"/>
    <w:rsid w:val="00286F1A"/>
    <w:rsid w:val="00297705"/>
    <w:rsid w:val="002A4365"/>
    <w:rsid w:val="002C7098"/>
    <w:rsid w:val="002D6ACB"/>
    <w:rsid w:val="006D3930"/>
    <w:rsid w:val="008130BE"/>
    <w:rsid w:val="0081416D"/>
    <w:rsid w:val="00CE78BB"/>
    <w:rsid w:val="00DF1D72"/>
    <w:rsid w:val="00E6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4203"/>
  <w15:chartTrackingRefBased/>
  <w15:docId w15:val="{4BE25F4F-CB4B-46A1-AD14-89E7842F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1">
    <w:name w:val="Normal"/>
    <w:qFormat/>
    <w:rsid w:val="0029770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9"/>
    <w:qFormat/>
    <w:rsid w:val="00297705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1"/>
    <w:next w:val="a1"/>
    <w:link w:val="20"/>
    <w:autoRedefine/>
    <w:uiPriority w:val="99"/>
    <w:qFormat/>
    <w:rsid w:val="006D3930"/>
    <w:pPr>
      <w:keepNext/>
      <w:outlineLvl w:val="1"/>
    </w:pPr>
    <w:rPr>
      <w:rFonts w:eastAsia="Times New Roman" w:cs="Times New Roman"/>
      <w:b/>
      <w:bCs/>
      <w:smallCaps/>
      <w:color w:val="000000"/>
      <w:szCs w:val="28"/>
      <w:lang w:eastAsia="ru-RU"/>
    </w:rPr>
  </w:style>
  <w:style w:type="paragraph" w:styleId="3">
    <w:name w:val="heading 3"/>
    <w:basedOn w:val="a1"/>
    <w:next w:val="a1"/>
    <w:link w:val="30"/>
    <w:autoRedefine/>
    <w:uiPriority w:val="99"/>
    <w:qFormat/>
    <w:rsid w:val="00297705"/>
    <w:pPr>
      <w:outlineLvl w:val="2"/>
    </w:pPr>
    <w:rPr>
      <w:rFonts w:eastAsia="Times New Roman" w:cs="Times New Roman"/>
      <w:noProof/>
      <w:szCs w:val="28"/>
    </w:rPr>
  </w:style>
  <w:style w:type="paragraph" w:styleId="4">
    <w:name w:val="heading 4"/>
    <w:basedOn w:val="a1"/>
    <w:next w:val="a1"/>
    <w:link w:val="40"/>
    <w:autoRedefine/>
    <w:uiPriority w:val="99"/>
    <w:qFormat/>
    <w:rsid w:val="00297705"/>
    <w:pPr>
      <w:keepNext/>
      <w:outlineLvl w:val="3"/>
    </w:pPr>
    <w:rPr>
      <w:rFonts w:eastAsia="Times New Roman" w:cs="Times New Roman"/>
      <w:noProof/>
      <w:szCs w:val="28"/>
    </w:rPr>
  </w:style>
  <w:style w:type="paragraph" w:styleId="5">
    <w:name w:val="heading 5"/>
    <w:basedOn w:val="a1"/>
    <w:next w:val="a1"/>
    <w:link w:val="50"/>
    <w:autoRedefine/>
    <w:uiPriority w:val="99"/>
    <w:qFormat/>
    <w:rsid w:val="00297705"/>
    <w:pPr>
      <w:ind w:left="737"/>
      <w:outlineLvl w:val="4"/>
    </w:pPr>
    <w:rPr>
      <w:rFonts w:eastAsia="Times New Roman" w:cs="Times New Roman"/>
      <w:szCs w:val="28"/>
    </w:rPr>
  </w:style>
  <w:style w:type="paragraph" w:styleId="6">
    <w:name w:val="heading 6"/>
    <w:basedOn w:val="a1"/>
    <w:next w:val="a1"/>
    <w:link w:val="60"/>
    <w:autoRedefine/>
    <w:uiPriority w:val="99"/>
    <w:qFormat/>
    <w:rsid w:val="00297705"/>
    <w:pPr>
      <w:outlineLvl w:val="5"/>
    </w:pPr>
    <w:rPr>
      <w:rFonts w:eastAsia="Times New Roman" w:cs="Times New Roman"/>
      <w:szCs w:val="28"/>
    </w:rPr>
  </w:style>
  <w:style w:type="paragraph" w:styleId="7">
    <w:name w:val="heading 7"/>
    <w:basedOn w:val="a1"/>
    <w:next w:val="a1"/>
    <w:link w:val="70"/>
    <w:uiPriority w:val="99"/>
    <w:qFormat/>
    <w:rsid w:val="00297705"/>
    <w:pPr>
      <w:keepNext/>
      <w:outlineLvl w:val="6"/>
    </w:pPr>
    <w:rPr>
      <w:rFonts w:eastAsia="Times New Roman" w:cs="Times New Roman"/>
      <w:szCs w:val="28"/>
    </w:rPr>
  </w:style>
  <w:style w:type="paragraph" w:styleId="8">
    <w:name w:val="heading 8"/>
    <w:basedOn w:val="a1"/>
    <w:next w:val="a1"/>
    <w:link w:val="80"/>
    <w:autoRedefine/>
    <w:uiPriority w:val="99"/>
    <w:qFormat/>
    <w:rsid w:val="00297705"/>
    <w:pPr>
      <w:outlineLvl w:val="7"/>
    </w:pPr>
    <w:rPr>
      <w:rFonts w:eastAsia="Times New Roman" w:cs="Times New Roman"/>
      <w:szCs w:val="28"/>
    </w:rPr>
  </w:style>
  <w:style w:type="paragraph" w:styleId="9">
    <w:name w:val="heading 9"/>
    <w:basedOn w:val="a1"/>
    <w:next w:val="a1"/>
    <w:link w:val="90"/>
    <w:uiPriority w:val="99"/>
    <w:qFormat/>
    <w:rsid w:val="00297705"/>
    <w:pPr>
      <w:spacing w:before="240" w:after="60"/>
      <w:outlineLvl w:val="8"/>
    </w:pPr>
    <w:rPr>
      <w:rFonts w:ascii="Arial" w:eastAsia="Times New Roman" w:hAnsi="Arial" w:cs="Arial"/>
      <w:color w:val="000000"/>
      <w:sz w:val="22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297705"/>
    <w:rPr>
      <w:rFonts w:ascii="Times New Roman" w:eastAsiaTheme="majorEastAsia" w:hAnsi="Times New Roman" w:cstheme="majorBidi"/>
      <w:sz w:val="28"/>
      <w:szCs w:val="32"/>
    </w:rPr>
  </w:style>
  <w:style w:type="table" w:customStyle="1" w:styleId="11">
    <w:name w:val="Сетка таблицы1"/>
    <w:basedOn w:val="a3"/>
    <w:next w:val="a5"/>
    <w:uiPriority w:val="59"/>
    <w:rsid w:val="0029770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3"/>
    <w:uiPriority w:val="59"/>
    <w:rsid w:val="00297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1"/>
    <w:link w:val="a7"/>
    <w:uiPriority w:val="99"/>
    <w:unhideWhenUsed/>
    <w:rsid w:val="0029770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297705"/>
    <w:rPr>
      <w:rFonts w:ascii="Times New Roman" w:hAnsi="Times New Roman"/>
      <w:sz w:val="28"/>
    </w:rPr>
  </w:style>
  <w:style w:type="paragraph" w:styleId="a8">
    <w:name w:val="footer"/>
    <w:basedOn w:val="a1"/>
    <w:link w:val="a9"/>
    <w:uiPriority w:val="99"/>
    <w:unhideWhenUsed/>
    <w:rsid w:val="0029770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297705"/>
    <w:rPr>
      <w:rFonts w:ascii="Times New Roman" w:hAnsi="Times New Roman"/>
      <w:sz w:val="28"/>
    </w:rPr>
  </w:style>
  <w:style w:type="paragraph" w:styleId="aa">
    <w:name w:val="caption"/>
    <w:basedOn w:val="a1"/>
    <w:next w:val="a1"/>
    <w:uiPriority w:val="99"/>
    <w:unhideWhenUsed/>
    <w:qFormat/>
    <w:rsid w:val="00297705"/>
    <w:pPr>
      <w:jc w:val="right"/>
    </w:pPr>
    <w:rPr>
      <w:iCs/>
      <w:szCs w:val="18"/>
    </w:rPr>
  </w:style>
  <w:style w:type="paragraph" w:styleId="ab">
    <w:name w:val="TOC Heading"/>
    <w:basedOn w:val="1"/>
    <w:next w:val="a1"/>
    <w:uiPriority w:val="39"/>
    <w:unhideWhenUsed/>
    <w:qFormat/>
    <w:rsid w:val="00297705"/>
    <w:pPr>
      <w:jc w:val="center"/>
      <w:outlineLvl w:val="9"/>
    </w:pPr>
    <w:rPr>
      <w:b/>
      <w:lang w:eastAsia="ru-RU"/>
    </w:rPr>
  </w:style>
  <w:style w:type="paragraph" w:customStyle="1" w:styleId="a">
    <w:name w:val="лит"/>
    <w:autoRedefine/>
    <w:uiPriority w:val="99"/>
    <w:rsid w:val="00297705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лит+нумерация"/>
    <w:basedOn w:val="a1"/>
    <w:next w:val="a1"/>
    <w:autoRedefine/>
    <w:uiPriority w:val="99"/>
    <w:rsid w:val="00297705"/>
    <w:rPr>
      <w:rFonts w:eastAsia="Times New Roman" w:cs="Times New Roman"/>
      <w:iCs/>
      <w:color w:val="000000"/>
      <w:szCs w:val="28"/>
      <w:lang w:eastAsia="ru-RU"/>
    </w:rPr>
  </w:style>
  <w:style w:type="character" w:customStyle="1" w:styleId="ad">
    <w:name w:val="номер страницы"/>
    <w:basedOn w:val="a2"/>
    <w:uiPriority w:val="99"/>
    <w:rsid w:val="00297705"/>
    <w:rPr>
      <w:rFonts w:cs="Times New Roman"/>
      <w:sz w:val="28"/>
      <w:szCs w:val="28"/>
    </w:rPr>
  </w:style>
  <w:style w:type="paragraph" w:customStyle="1" w:styleId="ae">
    <w:name w:val="Обычный +"/>
    <w:basedOn w:val="a1"/>
    <w:autoRedefine/>
    <w:uiPriority w:val="99"/>
    <w:rsid w:val="00297705"/>
    <w:rPr>
      <w:rFonts w:eastAsia="Times New Roman" w:cs="Times New Roman"/>
      <w:color w:val="000000"/>
      <w:szCs w:val="20"/>
      <w:lang w:eastAsia="ru-RU"/>
    </w:rPr>
  </w:style>
  <w:style w:type="paragraph" w:customStyle="1" w:styleId="af">
    <w:name w:val="размещено"/>
    <w:basedOn w:val="a1"/>
    <w:autoRedefine/>
    <w:uiPriority w:val="99"/>
    <w:rsid w:val="00297705"/>
    <w:rPr>
      <w:rFonts w:eastAsia="Times New Roman" w:cs="Times New Roman"/>
      <w:color w:val="FFFFFF"/>
      <w:szCs w:val="28"/>
      <w:lang w:eastAsia="ru-RU"/>
    </w:rPr>
  </w:style>
  <w:style w:type="paragraph" w:customStyle="1" w:styleId="af0">
    <w:name w:val="содержание"/>
    <w:uiPriority w:val="99"/>
    <w:rsid w:val="00297705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table" w:customStyle="1" w:styleId="12">
    <w:name w:val="Стиль таблицы1"/>
    <w:uiPriority w:val="99"/>
    <w:rsid w:val="00297705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1">
    <w:name w:val="схема"/>
    <w:autoRedefine/>
    <w:uiPriority w:val="99"/>
    <w:rsid w:val="0029770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ТАБЛИЦА"/>
    <w:next w:val="a1"/>
    <w:autoRedefine/>
    <w:uiPriority w:val="99"/>
    <w:rsid w:val="00297705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3">
    <w:name w:val="титут"/>
    <w:autoRedefine/>
    <w:uiPriority w:val="99"/>
    <w:rsid w:val="00297705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numbering" w:customStyle="1" w:styleId="a0">
    <w:name w:val="Стиль нумерованный"/>
    <w:rsid w:val="00297705"/>
    <w:pPr>
      <w:numPr>
        <w:numId w:val="2"/>
      </w:numPr>
    </w:pPr>
  </w:style>
  <w:style w:type="table" w:customStyle="1" w:styleId="32">
    <w:name w:val="Сетка таблицы32"/>
    <w:basedOn w:val="a3"/>
    <w:uiPriority w:val="59"/>
    <w:rsid w:val="002977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977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2"/>
    <w:link w:val="2"/>
    <w:uiPriority w:val="99"/>
    <w:rsid w:val="006D3930"/>
    <w:rPr>
      <w:rFonts w:ascii="Times New Roman" w:eastAsia="Times New Roman" w:hAnsi="Times New Roman" w:cs="Times New Roman"/>
      <w:b/>
      <w:bCs/>
      <w:smallCap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297705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40">
    <w:name w:val="Заголовок 4 Знак"/>
    <w:basedOn w:val="a2"/>
    <w:link w:val="4"/>
    <w:uiPriority w:val="99"/>
    <w:rsid w:val="00297705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2"/>
    <w:link w:val="6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2"/>
    <w:link w:val="7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2"/>
    <w:link w:val="8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sid w:val="00297705"/>
    <w:rPr>
      <w:rFonts w:ascii="Arial" w:eastAsia="Times New Roman" w:hAnsi="Arial" w:cs="Arial"/>
      <w:color w:val="000000"/>
      <w:lang w:eastAsia="ru-RU"/>
    </w:rPr>
  </w:style>
  <w:style w:type="paragraph" w:styleId="13">
    <w:name w:val="toc 1"/>
    <w:basedOn w:val="a1"/>
    <w:next w:val="a1"/>
    <w:autoRedefine/>
    <w:uiPriority w:val="39"/>
    <w:rsid w:val="00297705"/>
    <w:pPr>
      <w:tabs>
        <w:tab w:val="right" w:leader="dot" w:pos="9345"/>
      </w:tabs>
      <w:autoSpaceDE w:val="0"/>
      <w:autoSpaceDN w:val="0"/>
      <w:adjustRightInd w:val="0"/>
      <w:jc w:val="left"/>
    </w:pPr>
    <w:rPr>
      <w:rFonts w:ascii="Times New Roman CYR" w:eastAsia="Times New Roman" w:hAnsi="Times New Roman CYR" w:cs="Times New Roman"/>
      <w:bCs/>
      <w:iCs/>
      <w:smallCaps/>
      <w:szCs w:val="24"/>
    </w:rPr>
  </w:style>
  <w:style w:type="paragraph" w:styleId="21">
    <w:name w:val="toc 2"/>
    <w:basedOn w:val="a1"/>
    <w:next w:val="a1"/>
    <w:autoRedefine/>
    <w:uiPriority w:val="39"/>
    <w:unhideWhenUsed/>
    <w:rsid w:val="00297705"/>
    <w:pPr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297705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af4">
    <w:name w:val="footnote text"/>
    <w:basedOn w:val="a1"/>
    <w:link w:val="af5"/>
    <w:autoRedefine/>
    <w:uiPriority w:val="99"/>
    <w:semiHidden/>
    <w:rsid w:val="00297705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semiHidden/>
    <w:rsid w:val="0029770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6">
    <w:name w:val="annotation text"/>
    <w:basedOn w:val="a1"/>
    <w:link w:val="af7"/>
    <w:uiPriority w:val="99"/>
    <w:unhideWhenUsed/>
    <w:rsid w:val="00297705"/>
    <w:pPr>
      <w:spacing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29770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8">
    <w:name w:val="footnote reference"/>
    <w:basedOn w:val="a2"/>
    <w:uiPriority w:val="99"/>
    <w:semiHidden/>
    <w:rsid w:val="00297705"/>
    <w:rPr>
      <w:rFonts w:cs="Times New Roman"/>
      <w:color w:val="auto"/>
      <w:sz w:val="28"/>
      <w:szCs w:val="28"/>
      <w:vertAlign w:val="superscript"/>
    </w:rPr>
  </w:style>
  <w:style w:type="character" w:styleId="af9">
    <w:name w:val="annotation reference"/>
    <w:basedOn w:val="a2"/>
    <w:uiPriority w:val="99"/>
    <w:semiHidden/>
    <w:unhideWhenUsed/>
    <w:rsid w:val="00297705"/>
    <w:rPr>
      <w:sz w:val="16"/>
      <w:szCs w:val="16"/>
    </w:rPr>
  </w:style>
  <w:style w:type="character" w:styleId="afa">
    <w:name w:val="page number"/>
    <w:basedOn w:val="a2"/>
    <w:uiPriority w:val="99"/>
    <w:rsid w:val="00297705"/>
    <w:rPr>
      <w:rFonts w:ascii="Times New Roman" w:hAnsi="Times New Roman" w:cs="Times New Roman"/>
      <w:sz w:val="28"/>
      <w:szCs w:val="28"/>
    </w:rPr>
  </w:style>
  <w:style w:type="character" w:styleId="afb">
    <w:name w:val="endnote reference"/>
    <w:basedOn w:val="a2"/>
    <w:uiPriority w:val="99"/>
    <w:semiHidden/>
    <w:rsid w:val="00297705"/>
    <w:rPr>
      <w:rFonts w:cs="Times New Roman"/>
      <w:vertAlign w:val="superscript"/>
    </w:rPr>
  </w:style>
  <w:style w:type="paragraph" w:styleId="afc">
    <w:name w:val="endnote text"/>
    <w:basedOn w:val="a1"/>
    <w:link w:val="afd"/>
    <w:autoRedefine/>
    <w:uiPriority w:val="99"/>
    <w:semiHidden/>
    <w:rsid w:val="00297705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d">
    <w:name w:val="Текст концевой сноски Знак"/>
    <w:basedOn w:val="a2"/>
    <w:link w:val="afc"/>
    <w:uiPriority w:val="99"/>
    <w:semiHidden/>
    <w:rsid w:val="0029770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e">
    <w:name w:val="Body Text"/>
    <w:basedOn w:val="a1"/>
    <w:link w:val="aff"/>
    <w:uiPriority w:val="99"/>
    <w:rsid w:val="00297705"/>
    <w:rPr>
      <w:rFonts w:eastAsia="Times New Roman" w:cs="Times New Roman"/>
      <w:color w:val="000000"/>
      <w:szCs w:val="28"/>
      <w:lang w:eastAsia="ru-RU"/>
    </w:rPr>
  </w:style>
  <w:style w:type="character" w:customStyle="1" w:styleId="aff">
    <w:name w:val="Основной текст Знак"/>
    <w:basedOn w:val="a2"/>
    <w:link w:val="afe"/>
    <w:uiPriority w:val="99"/>
    <w:rsid w:val="0029770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f0">
    <w:name w:val="Body Text Indent"/>
    <w:basedOn w:val="a1"/>
    <w:link w:val="aff1"/>
    <w:uiPriority w:val="99"/>
    <w:rsid w:val="00297705"/>
    <w:pPr>
      <w:shd w:val="clear" w:color="auto" w:fill="FFFFFF"/>
      <w:spacing w:before="192"/>
      <w:ind w:right="-5" w:firstLine="360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1">
    <w:name w:val="Основной текст с отступом Знак"/>
    <w:basedOn w:val="a2"/>
    <w:link w:val="aff0"/>
    <w:uiPriority w:val="99"/>
    <w:rsid w:val="0029770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ff2">
    <w:name w:val="Subtitle"/>
    <w:basedOn w:val="a1"/>
    <w:next w:val="a1"/>
    <w:link w:val="aff3"/>
    <w:uiPriority w:val="11"/>
    <w:qFormat/>
    <w:rsid w:val="00297705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f3">
    <w:name w:val="Подзаголовок Знак"/>
    <w:basedOn w:val="a2"/>
    <w:link w:val="aff2"/>
    <w:uiPriority w:val="11"/>
    <w:rsid w:val="0029770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styleId="aff4">
    <w:name w:val="Hyperlink"/>
    <w:basedOn w:val="a2"/>
    <w:uiPriority w:val="99"/>
    <w:rsid w:val="00297705"/>
    <w:rPr>
      <w:rFonts w:ascii="Times New Roman" w:hAnsi="Times New Roman" w:cs="Times New Roman"/>
      <w:color w:val="auto"/>
      <w:sz w:val="28"/>
      <w:u w:val="none"/>
    </w:rPr>
  </w:style>
  <w:style w:type="paragraph" w:styleId="aff5">
    <w:name w:val="Normal (Web)"/>
    <w:basedOn w:val="a1"/>
    <w:autoRedefine/>
    <w:uiPriority w:val="99"/>
    <w:rsid w:val="00297705"/>
    <w:rPr>
      <w:rFonts w:eastAsia="Times New Roman" w:cs="Times New Roman"/>
      <w:color w:val="000000"/>
      <w:szCs w:val="28"/>
      <w:lang w:val="uk-UA" w:eastAsia="uk-UA"/>
    </w:rPr>
  </w:style>
  <w:style w:type="paragraph" w:styleId="aff6">
    <w:name w:val="annotation subject"/>
    <w:basedOn w:val="af6"/>
    <w:next w:val="af6"/>
    <w:link w:val="aff7"/>
    <w:uiPriority w:val="99"/>
    <w:semiHidden/>
    <w:unhideWhenUsed/>
    <w:rsid w:val="00297705"/>
    <w:rPr>
      <w:b/>
      <w:bCs/>
    </w:rPr>
  </w:style>
  <w:style w:type="character" w:customStyle="1" w:styleId="aff7">
    <w:name w:val="Тема примечания Знак"/>
    <w:basedOn w:val="af7"/>
    <w:link w:val="aff6"/>
    <w:uiPriority w:val="99"/>
    <w:semiHidden/>
    <w:rsid w:val="00297705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f8">
    <w:name w:val="Balloon Text"/>
    <w:basedOn w:val="a1"/>
    <w:link w:val="aff9"/>
    <w:uiPriority w:val="99"/>
    <w:semiHidden/>
    <w:unhideWhenUsed/>
    <w:rsid w:val="00297705"/>
    <w:pPr>
      <w:spacing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9770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fa">
    <w:name w:val="List Paragraph"/>
    <w:basedOn w:val="a1"/>
    <w:uiPriority w:val="34"/>
    <w:qFormat/>
    <w:rsid w:val="00297705"/>
    <w:pPr>
      <w:ind w:left="720"/>
      <w:contextualSpacing/>
    </w:pPr>
    <w:rPr>
      <w:rFonts w:eastAsia="Times New Roman" w:cs="Times New Roman"/>
      <w:color w:val="000000"/>
      <w:szCs w:val="28"/>
      <w:lang w:eastAsia="ru-RU"/>
    </w:rPr>
  </w:style>
  <w:style w:type="paragraph" w:styleId="z-">
    <w:name w:val="HTML Top of Form"/>
    <w:basedOn w:val="a1"/>
    <w:next w:val="a1"/>
    <w:link w:val="z-0"/>
    <w:hidden/>
    <w:uiPriority w:val="99"/>
    <w:semiHidden/>
    <w:unhideWhenUsed/>
    <w:rsid w:val="002C7098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semiHidden/>
    <w:rsid w:val="002C709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1"/>
    <w:next w:val="a1"/>
    <w:link w:val="z-2"/>
    <w:hidden/>
    <w:uiPriority w:val="99"/>
    <w:semiHidden/>
    <w:unhideWhenUsed/>
    <w:rsid w:val="002C7098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semiHidden/>
    <w:rsid w:val="002C709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2"/>
    <w:rsid w:val="002C7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8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fontTable" Target="fontTable.xml"/><Relationship Id="rId21" Type="http://schemas.openxmlformats.org/officeDocument/2006/relationships/image" Target="media/image16.gif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image" Target="media/image33.jpe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9.jpeg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28" Type="http://schemas.openxmlformats.org/officeDocument/2006/relationships/image" Target="media/image23.gif"/><Relationship Id="rId36" Type="http://schemas.openxmlformats.org/officeDocument/2006/relationships/image" Target="media/image31.jpe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8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67FBF-D364-419B-A2D7-C54BF8505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4568</Words>
  <Characters>26039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2016-06-14T09:17:00Z</dcterms:created>
  <dcterms:modified xsi:type="dcterms:W3CDTF">2016-06-14T10:11:00Z</dcterms:modified>
</cp:coreProperties>
</file>